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E1" w:rsidRDefault="00FD1AE1" w:rsidP="00C54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336.12</w:t>
      </w:r>
    </w:p>
    <w:p w:rsidR="00FD1AE1" w:rsidRDefault="00FD1AE1" w:rsidP="00C54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EC7">
        <w:rPr>
          <w:rFonts w:ascii="Times New Roman" w:hAnsi="Times New Roman"/>
          <w:b/>
          <w:sz w:val="24"/>
          <w:szCs w:val="24"/>
        </w:rPr>
        <w:t xml:space="preserve">Особенности потребительского восприятия локализированных газированных напитков компании </w:t>
      </w:r>
      <w:r w:rsidRPr="00541EC7">
        <w:rPr>
          <w:rFonts w:ascii="Times New Roman" w:hAnsi="Times New Roman"/>
          <w:sz w:val="24"/>
          <w:szCs w:val="24"/>
          <w:lang w:eastAsia="ru-RU"/>
        </w:rPr>
        <w:t>«</w:t>
      </w:r>
      <w:r w:rsidRPr="00541EC7">
        <w:rPr>
          <w:rFonts w:ascii="Times New Roman" w:hAnsi="Times New Roman"/>
          <w:b/>
          <w:sz w:val="24"/>
          <w:szCs w:val="24"/>
        </w:rPr>
        <w:t>Мултон Партнерс</w:t>
      </w:r>
      <w:r w:rsidRPr="00541EC7">
        <w:rPr>
          <w:rFonts w:ascii="Times New Roman" w:hAnsi="Times New Roman"/>
          <w:sz w:val="24"/>
          <w:szCs w:val="24"/>
          <w:lang w:eastAsia="ru-RU"/>
        </w:rPr>
        <w:t>»</w:t>
      </w:r>
      <w:r w:rsidRPr="00541EC7">
        <w:rPr>
          <w:rFonts w:ascii="Times New Roman" w:hAnsi="Times New Roman"/>
          <w:b/>
          <w:sz w:val="24"/>
          <w:szCs w:val="24"/>
        </w:rPr>
        <w:t xml:space="preserve"> (экс Кока-Кола ЭйчБиСи Евразия)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1E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Курилов Богдан Николаевич, </w:t>
      </w:r>
      <w:r w:rsidRPr="00541EC7">
        <w:rPr>
          <w:rFonts w:ascii="Times New Roman" w:hAnsi="Times New Roman"/>
          <w:sz w:val="24"/>
          <w:szCs w:val="24"/>
          <w:lang w:eastAsia="ru-RU"/>
        </w:rPr>
        <w:t>магистр менеджмента, Национальный исследовательский университет «Высшая школа экономики», 119049</w:t>
      </w:r>
      <w:r w:rsidR="00C54618">
        <w:rPr>
          <w:rFonts w:ascii="Times New Roman" w:hAnsi="Times New Roman"/>
          <w:sz w:val="24"/>
          <w:szCs w:val="24"/>
          <w:lang w:eastAsia="ru-RU"/>
        </w:rPr>
        <w:t xml:space="preserve">, Россия, </w:t>
      </w:r>
      <w:r w:rsidRPr="00541EC7">
        <w:rPr>
          <w:rFonts w:ascii="Times New Roman" w:hAnsi="Times New Roman"/>
          <w:sz w:val="24"/>
          <w:szCs w:val="24"/>
          <w:lang w:eastAsia="ru-RU"/>
        </w:rPr>
        <w:t xml:space="preserve"> г. Москва, ул. Шаболовка, 26</w:t>
      </w:r>
    </w:p>
    <w:p w:rsidR="00300954" w:rsidRDefault="00D30DE0" w:rsidP="00C54618">
      <w:pPr>
        <w:spacing w:after="0" w:line="240" w:lineRule="auto"/>
      </w:pPr>
      <w:hyperlink r:id="rId8" w:history="1"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val="en-US" w:eastAsia="ru-RU"/>
          </w:rPr>
          <w:t>bnkurilov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>@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val="en-US" w:eastAsia="ru-RU"/>
          </w:rPr>
          <w:t>edu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val="en-US" w:eastAsia="ru-RU"/>
          </w:rPr>
          <w:t>hse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FD1AE1" w:rsidRPr="00541EC7" w:rsidRDefault="00FD1AE1" w:rsidP="00C54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1AE1">
        <w:rPr>
          <w:rFonts w:ascii="Times New Roman" w:hAnsi="Times New Roman"/>
          <w:sz w:val="24"/>
          <w:szCs w:val="24"/>
          <w:lang w:eastAsia="ru-RU"/>
        </w:rPr>
        <w:t>ORCID: 0000-0002-</w:t>
      </w:r>
      <w:r>
        <w:rPr>
          <w:rFonts w:ascii="Times New Roman" w:hAnsi="Times New Roman"/>
          <w:sz w:val="24"/>
          <w:szCs w:val="24"/>
          <w:lang w:eastAsia="ru-RU"/>
        </w:rPr>
        <w:t>4852</w:t>
      </w:r>
      <w:r w:rsidRPr="00FD1AE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2587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1E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Галицкий Ефим Борисович,  </w:t>
      </w:r>
      <w:r w:rsidRPr="00541EC7">
        <w:rPr>
          <w:rFonts w:ascii="Times New Roman" w:hAnsi="Times New Roman"/>
          <w:sz w:val="24"/>
          <w:szCs w:val="24"/>
          <w:lang w:eastAsia="ru-RU"/>
        </w:rPr>
        <w:t>к. э. н., начальник лаборатории анализа данных, Институт Фонд</w:t>
      </w:r>
      <w:r w:rsidR="00FB3D40">
        <w:rPr>
          <w:rFonts w:ascii="Times New Roman" w:hAnsi="Times New Roman"/>
          <w:sz w:val="24"/>
          <w:szCs w:val="24"/>
          <w:lang w:eastAsia="ru-RU"/>
        </w:rPr>
        <w:t>а</w:t>
      </w:r>
      <w:r w:rsidRPr="00541E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D40" w:rsidRPr="00541EC7">
        <w:rPr>
          <w:rFonts w:ascii="Times New Roman" w:hAnsi="Times New Roman"/>
          <w:sz w:val="24"/>
          <w:szCs w:val="24"/>
          <w:lang w:eastAsia="ru-RU"/>
        </w:rPr>
        <w:t>«</w:t>
      </w:r>
      <w:r w:rsidRPr="00541EC7">
        <w:rPr>
          <w:rFonts w:ascii="Times New Roman" w:hAnsi="Times New Roman"/>
          <w:sz w:val="24"/>
          <w:szCs w:val="24"/>
          <w:lang w:eastAsia="ru-RU"/>
        </w:rPr>
        <w:t>Общественное Мнение», 123242</w:t>
      </w:r>
      <w:r w:rsidR="00541EC7">
        <w:rPr>
          <w:rFonts w:ascii="Times New Roman" w:hAnsi="Times New Roman"/>
          <w:sz w:val="24"/>
          <w:szCs w:val="24"/>
          <w:lang w:eastAsia="ru-RU"/>
        </w:rPr>
        <w:t>, Россия,</w:t>
      </w:r>
      <w:r w:rsidRPr="00541EC7">
        <w:rPr>
          <w:rFonts w:ascii="Times New Roman" w:hAnsi="Times New Roman"/>
          <w:sz w:val="24"/>
          <w:szCs w:val="24"/>
          <w:lang w:eastAsia="ru-RU"/>
        </w:rPr>
        <w:t xml:space="preserve"> г. Москва, ул. Рочдельская, 15, стр. 16А</w:t>
      </w:r>
    </w:p>
    <w:p w:rsidR="00300954" w:rsidRDefault="00D30DE0" w:rsidP="00C5461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FD1AE1" w:rsidRPr="009203C9">
          <w:rPr>
            <w:rStyle w:val="a4"/>
            <w:rFonts w:ascii="Times New Roman" w:hAnsi="Times New Roman"/>
            <w:sz w:val="24"/>
            <w:szCs w:val="24"/>
            <w:lang w:val="en-US"/>
          </w:rPr>
          <w:t>galitskiy</w:t>
        </w:r>
        <w:r w:rsidR="00FD1AE1" w:rsidRPr="009203C9">
          <w:rPr>
            <w:rStyle w:val="a4"/>
            <w:rFonts w:ascii="Times New Roman" w:hAnsi="Times New Roman"/>
            <w:sz w:val="24"/>
            <w:szCs w:val="24"/>
          </w:rPr>
          <w:t>@</w:t>
        </w:r>
        <w:r w:rsidR="00FD1AE1" w:rsidRPr="009203C9">
          <w:rPr>
            <w:rStyle w:val="a4"/>
            <w:rFonts w:ascii="Times New Roman" w:hAnsi="Times New Roman"/>
            <w:sz w:val="24"/>
            <w:szCs w:val="24"/>
            <w:lang w:val="en-US"/>
          </w:rPr>
          <w:t>fom</w:t>
        </w:r>
        <w:r w:rsidR="00FD1AE1" w:rsidRPr="009203C9">
          <w:rPr>
            <w:rStyle w:val="a4"/>
            <w:rFonts w:ascii="Times New Roman" w:hAnsi="Times New Roman"/>
            <w:sz w:val="24"/>
            <w:szCs w:val="24"/>
          </w:rPr>
          <w:t>.</w:t>
        </w:r>
        <w:r w:rsidR="00FD1AE1" w:rsidRPr="009203C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D1AE1" w:rsidRPr="00FD1AE1" w:rsidRDefault="00FD1AE1" w:rsidP="00C54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AE1">
        <w:rPr>
          <w:rFonts w:ascii="Times New Roman" w:hAnsi="Times New Roman"/>
          <w:sz w:val="24"/>
          <w:szCs w:val="24"/>
        </w:rPr>
        <w:t>ORCID: 0000-0002-8535-5083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EC7">
        <w:rPr>
          <w:rFonts w:ascii="Times New Roman" w:hAnsi="Times New Roman"/>
          <w:sz w:val="24"/>
          <w:szCs w:val="24"/>
        </w:rPr>
        <w:t xml:space="preserve">Статья посвящена изучению потребительского восприятия нового портфолио компании </w:t>
      </w:r>
      <w:r w:rsidRPr="00541EC7">
        <w:rPr>
          <w:rFonts w:ascii="Times New Roman" w:hAnsi="Times New Roman"/>
          <w:sz w:val="24"/>
          <w:szCs w:val="24"/>
          <w:lang w:eastAsia="ru-RU"/>
        </w:rPr>
        <w:t>«</w:t>
      </w:r>
      <w:r w:rsidRPr="00541EC7">
        <w:rPr>
          <w:rFonts w:ascii="Times New Roman" w:hAnsi="Times New Roman"/>
          <w:sz w:val="24"/>
          <w:szCs w:val="24"/>
        </w:rPr>
        <w:t>Мултон Партнерс</w:t>
      </w:r>
      <w:r w:rsidRPr="00541EC7">
        <w:rPr>
          <w:rFonts w:ascii="Times New Roman" w:hAnsi="Times New Roman"/>
          <w:sz w:val="24"/>
          <w:szCs w:val="24"/>
          <w:lang w:eastAsia="ru-RU"/>
        </w:rPr>
        <w:t>»</w:t>
      </w:r>
      <w:r w:rsidRPr="00541EC7">
        <w:rPr>
          <w:rFonts w:ascii="Times New Roman" w:hAnsi="Times New Roman"/>
          <w:sz w:val="24"/>
          <w:szCs w:val="24"/>
        </w:rPr>
        <w:t>, локализованного специально для российского рынка. Статья подготовлена только на основе открытых источников. Найденные в ходе качественного поискового исследования характеристики сравнения газированных напитков легли в основу инструментария онлайн-опроса, нацеленного на изучение оценки потребителями нового и старого портфеля брендов. К данным этого опроса были применены методы множественного линейного регрессионного анализа и анализа главных компонент (PCA). В итоге была сформирована карта восприятия брендов, которая продемонстр</w:t>
      </w:r>
      <w:r w:rsidR="00C54618">
        <w:rPr>
          <w:rFonts w:ascii="Times New Roman" w:hAnsi="Times New Roman"/>
          <w:sz w:val="24"/>
          <w:szCs w:val="24"/>
        </w:rPr>
        <w:t xml:space="preserve">ировала существенные различия в </w:t>
      </w:r>
      <w:r w:rsidRPr="00541EC7">
        <w:rPr>
          <w:rFonts w:ascii="Times New Roman" w:hAnsi="Times New Roman"/>
          <w:sz w:val="24"/>
          <w:szCs w:val="24"/>
        </w:rPr>
        <w:t>потребительском восприятии между двумя портфелями брендов. На этой основе были даны рекомендации компании, предложены концептуальные варианты позиционирования и формирования имиджа брендов.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EC7">
        <w:rPr>
          <w:rFonts w:ascii="Times New Roman" w:hAnsi="Times New Roman"/>
          <w:b/>
          <w:sz w:val="24"/>
          <w:szCs w:val="24"/>
        </w:rPr>
        <w:t>Ключевые слова</w:t>
      </w:r>
      <w:r w:rsidRPr="00541EC7">
        <w:rPr>
          <w:rFonts w:ascii="Times New Roman" w:hAnsi="Times New Roman"/>
          <w:sz w:val="24"/>
          <w:szCs w:val="24"/>
        </w:rPr>
        <w:t xml:space="preserve">: </w:t>
      </w:r>
      <w:r w:rsidRPr="00541EC7">
        <w:rPr>
          <w:rFonts w:ascii="Times New Roman" w:hAnsi="Times New Roman"/>
          <w:sz w:val="24"/>
          <w:szCs w:val="24"/>
          <w:lang w:val="en-US"/>
        </w:rPr>
        <w:t>FMCG</w:t>
      </w:r>
      <w:r w:rsidRPr="00541EC7">
        <w:rPr>
          <w:rFonts w:ascii="Times New Roman" w:hAnsi="Times New Roman"/>
          <w:sz w:val="24"/>
          <w:szCs w:val="24"/>
        </w:rPr>
        <w:t xml:space="preserve">; восприятие брендов; карта восприятия; бренд-менеджмент; газированные напитки; исход брендов; </w:t>
      </w:r>
      <w:r w:rsidRPr="00541EC7">
        <w:rPr>
          <w:rFonts w:ascii="Times New Roman" w:hAnsi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/>
          <w:sz w:val="24"/>
          <w:szCs w:val="24"/>
        </w:rPr>
        <w:t>-</w:t>
      </w:r>
      <w:r w:rsidRPr="00541EC7">
        <w:rPr>
          <w:rFonts w:ascii="Times New Roman" w:hAnsi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/>
          <w:sz w:val="24"/>
          <w:szCs w:val="24"/>
        </w:rPr>
        <w:t>; имидж бренда; бренд “Добрый”.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954" w:rsidRPr="00541EC7" w:rsidRDefault="00300954" w:rsidP="00C5461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41EC7">
        <w:rPr>
          <w:rFonts w:ascii="Times New Roman" w:hAnsi="Times New Roman"/>
          <w:b/>
          <w:sz w:val="24"/>
          <w:szCs w:val="24"/>
          <w:lang w:val="en-US"/>
        </w:rPr>
        <w:t>Features of Consumer Perception of Localized Carbonated Drinks of Multon Partners (ex-Coca-Cola HBC Eurasia)</w:t>
      </w:r>
    </w:p>
    <w:p w:rsidR="00300954" w:rsidRPr="00541EC7" w:rsidRDefault="00300954" w:rsidP="00C5461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</w:pPr>
      <w:r w:rsidRPr="00541EC7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Kurilov Bogdan Nikolaevich, </w:t>
      </w:r>
      <w:r w:rsidRPr="00541EC7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Master of Management, National Research University Higher School of Economics, 119049 Moscow, st. Shabolovka, 26</w:t>
      </w:r>
    </w:p>
    <w:p w:rsidR="00300954" w:rsidRPr="00541EC7" w:rsidRDefault="00D30DE0" w:rsidP="00C54618">
      <w:pPr>
        <w:spacing w:after="0" w:line="240" w:lineRule="auto"/>
        <w:rPr>
          <w:rStyle w:val="a4"/>
          <w:rFonts w:ascii="Times New Roman" w:hAnsi="Times New Roman"/>
          <w:color w:val="auto"/>
          <w:sz w:val="24"/>
          <w:szCs w:val="24"/>
          <w:shd w:val="clear" w:color="auto" w:fill="FFFFFF"/>
          <w:lang w:val="en-US" w:eastAsia="ru-RU"/>
        </w:rPr>
      </w:pPr>
      <w:hyperlink r:id="rId10" w:history="1">
        <w:r w:rsidR="00300954" w:rsidRPr="00541EC7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  <w:lang w:val="en-US" w:eastAsia="ru-RU"/>
          </w:rPr>
          <w:t>bnkurilov@edu.hse.ru</w:t>
        </w:r>
      </w:hyperlink>
    </w:p>
    <w:p w:rsidR="005E762B" w:rsidRPr="007E0B7B" w:rsidRDefault="005E762B" w:rsidP="005E762B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7E0B7B">
        <w:rPr>
          <w:rFonts w:ascii="Times New Roman" w:hAnsi="Times New Roman"/>
          <w:sz w:val="24"/>
          <w:szCs w:val="24"/>
          <w:lang w:val="en-US" w:eastAsia="ru-RU"/>
        </w:rPr>
        <w:t>ORCID: 0000-0002-4852-2587</w:t>
      </w:r>
    </w:p>
    <w:p w:rsidR="00300954" w:rsidRPr="00541EC7" w:rsidRDefault="00300954" w:rsidP="00C54618">
      <w:pPr>
        <w:spacing w:after="0" w:line="240" w:lineRule="auto"/>
        <w:rPr>
          <w:rStyle w:val="a4"/>
          <w:rFonts w:ascii="Times New Roman" w:hAnsi="Times New Roman"/>
          <w:color w:val="auto"/>
          <w:sz w:val="24"/>
          <w:szCs w:val="24"/>
          <w:shd w:val="clear" w:color="auto" w:fill="FFFFFF"/>
          <w:lang w:val="en-US" w:eastAsia="ru-RU"/>
        </w:rPr>
      </w:pPr>
    </w:p>
    <w:p w:rsidR="00300954" w:rsidRPr="00541EC7" w:rsidRDefault="00300954" w:rsidP="00C54618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541EC7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Galitskiy Efim Borisovich, </w:t>
      </w:r>
      <w:r w:rsidRPr="00541EC7">
        <w:rPr>
          <w:rFonts w:ascii="Times New Roman" w:hAnsi="Times New Roman"/>
          <w:sz w:val="24"/>
          <w:szCs w:val="24"/>
          <w:lang w:val="en-US" w:eastAsia="ru-RU"/>
        </w:rPr>
        <w:t>Doctor of Economics, Data analysis laboratory Head at the Institute of Public Opinion Foundation, 123242  Moscow, st. Rodchelskaya 15, 16a</w:t>
      </w:r>
    </w:p>
    <w:p w:rsidR="00C54618" w:rsidRPr="007E0B7B" w:rsidRDefault="00D30DE0" w:rsidP="00C546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C54618" w:rsidRPr="00705256">
          <w:rPr>
            <w:rStyle w:val="a4"/>
            <w:rFonts w:ascii="Times New Roman" w:hAnsi="Times New Roman"/>
            <w:sz w:val="24"/>
            <w:szCs w:val="24"/>
            <w:lang w:val="en-US"/>
          </w:rPr>
          <w:t>galitskiy</w:t>
        </w:r>
        <w:r w:rsidR="00C54618" w:rsidRPr="007E0B7B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="00C54618" w:rsidRPr="00705256">
          <w:rPr>
            <w:rStyle w:val="a4"/>
            <w:rFonts w:ascii="Times New Roman" w:hAnsi="Times New Roman"/>
            <w:sz w:val="24"/>
            <w:szCs w:val="24"/>
            <w:lang w:val="en-US"/>
          </w:rPr>
          <w:t>fom</w:t>
        </w:r>
        <w:r w:rsidR="00C54618" w:rsidRPr="007E0B7B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="00C54618" w:rsidRPr="0070525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54618" w:rsidRPr="007E0B7B" w:rsidRDefault="005E762B" w:rsidP="00C546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E0B7B">
        <w:rPr>
          <w:rFonts w:ascii="Times New Roman" w:hAnsi="Times New Roman"/>
          <w:sz w:val="24"/>
          <w:szCs w:val="24"/>
          <w:lang w:val="en-US"/>
        </w:rPr>
        <w:t>ORCID: 0000-0002-8535-5083</w:t>
      </w:r>
    </w:p>
    <w:p w:rsidR="005E762B" w:rsidRPr="007E0B7B" w:rsidRDefault="005E762B" w:rsidP="00C546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111C" w:rsidRPr="007E0B7B" w:rsidRDefault="00CA389C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63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7E0B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(Introduction)</w:t>
      </w:r>
    </w:p>
    <w:p w:rsidR="00CA389C" w:rsidRPr="007E0B7B" w:rsidRDefault="00CA389C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1BAF">
        <w:rPr>
          <w:rFonts w:ascii="Times New Roman" w:hAnsi="Times New Roman" w:cs="Times New Roman"/>
          <w:sz w:val="24"/>
          <w:szCs w:val="24"/>
        </w:rPr>
        <w:t xml:space="preserve">8 </w:t>
      </w:r>
      <w:r w:rsidRPr="00541EC7">
        <w:rPr>
          <w:rFonts w:ascii="Times New Roman" w:hAnsi="Times New Roman" w:cs="Times New Roman"/>
          <w:sz w:val="24"/>
          <w:szCs w:val="24"/>
        </w:rPr>
        <w:t>марта</w:t>
      </w:r>
      <w:r w:rsidRPr="00171BAF">
        <w:rPr>
          <w:rFonts w:ascii="Times New Roman" w:hAnsi="Times New Roman" w:cs="Times New Roman"/>
          <w:sz w:val="24"/>
          <w:szCs w:val="24"/>
        </w:rPr>
        <w:t xml:space="preserve"> 2022 </w:t>
      </w:r>
      <w:r w:rsidRPr="00541EC7">
        <w:rPr>
          <w:rFonts w:ascii="Times New Roman" w:hAnsi="Times New Roman" w:cs="Times New Roman"/>
          <w:sz w:val="24"/>
          <w:szCs w:val="24"/>
        </w:rPr>
        <w:t>года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="00B1405B" w:rsidRPr="00541EC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405B"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171BAF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и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ее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конкурент</w:t>
      </w:r>
      <w:r w:rsidRPr="00171BAF">
        <w:rPr>
          <w:rFonts w:ascii="Times New Roman" w:hAnsi="Times New Roman" w:cs="Times New Roman"/>
          <w:sz w:val="24"/>
          <w:szCs w:val="24"/>
        </w:rPr>
        <w:t xml:space="preserve"> –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PepsiCo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почти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одновременно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заявили</w:t>
      </w:r>
      <w:r w:rsidRPr="00171BAF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</w:rPr>
        <w:t>что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закрывают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свой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бизнес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в</w:t>
      </w:r>
      <w:r w:rsidRPr="00171BAF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РФ</w:t>
      </w:r>
      <w:r w:rsidRPr="00171BAF">
        <w:rPr>
          <w:rFonts w:ascii="Times New Roman" w:hAnsi="Times New Roman" w:cs="Times New Roman"/>
          <w:sz w:val="24"/>
          <w:szCs w:val="24"/>
        </w:rPr>
        <w:t xml:space="preserve"> (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pepsico</w:t>
      </w:r>
      <w:r w:rsidRPr="00171BAF">
        <w:rPr>
          <w:rFonts w:ascii="Times New Roman" w:hAnsi="Times New Roman" w:cs="Times New Roman"/>
          <w:sz w:val="24"/>
          <w:szCs w:val="24"/>
        </w:rPr>
        <w:t>.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71BAF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171BAF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colacompany</w:t>
      </w:r>
      <w:r w:rsidRPr="00171BAF">
        <w:rPr>
          <w:rFonts w:ascii="Times New Roman" w:hAnsi="Times New Roman" w:cs="Times New Roman"/>
          <w:sz w:val="24"/>
          <w:szCs w:val="24"/>
        </w:rPr>
        <w:t>.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71BAF">
        <w:rPr>
          <w:rFonts w:ascii="Times New Roman" w:hAnsi="Times New Roman" w:cs="Times New Roman"/>
          <w:sz w:val="24"/>
          <w:szCs w:val="24"/>
        </w:rPr>
        <w:t xml:space="preserve">, 2022). </w:t>
      </w:r>
      <w:r w:rsidRPr="00541EC7">
        <w:rPr>
          <w:rFonts w:ascii="Times New Roman" w:hAnsi="Times New Roman" w:cs="Times New Roman"/>
          <w:sz w:val="24"/>
          <w:szCs w:val="24"/>
        </w:rPr>
        <w:t xml:space="preserve">После этого заявления компании анонсировали, что уже привычные россиянам бренды вскоре исчезнут с полок магазинов. Так и произошло: локальное производство таких напитков, как: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Pepsi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Mirinda</w:t>
      </w:r>
      <w:r w:rsidRPr="00541EC7">
        <w:rPr>
          <w:rFonts w:ascii="Times New Roman" w:hAnsi="Times New Roman" w:cs="Times New Roman"/>
          <w:sz w:val="24"/>
          <w:szCs w:val="24"/>
        </w:rPr>
        <w:t>, 7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541EC7">
        <w:rPr>
          <w:rFonts w:ascii="Times New Roman" w:hAnsi="Times New Roman" w:cs="Times New Roman"/>
          <w:sz w:val="24"/>
          <w:szCs w:val="24"/>
        </w:rPr>
        <w:t xml:space="preserve"> и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Sprite</w:t>
      </w:r>
      <w:r w:rsidRPr="00541EC7">
        <w:rPr>
          <w:rFonts w:ascii="Times New Roman" w:hAnsi="Times New Roman" w:cs="Times New Roman"/>
          <w:sz w:val="24"/>
          <w:szCs w:val="24"/>
        </w:rPr>
        <w:t xml:space="preserve"> – остановилось.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lastRenderedPageBreak/>
        <w:t>Тем не менее, эти компании применили решения, направленные на локализацию этих брендов</w:t>
      </w:r>
      <w:r w:rsidR="00B1405B" w:rsidRPr="00541EC7">
        <w:rPr>
          <w:rFonts w:ascii="Times New Roman" w:hAnsi="Times New Roman" w:cs="Times New Roman"/>
          <w:sz w:val="24"/>
          <w:szCs w:val="24"/>
        </w:rPr>
        <w:t xml:space="preserve"> –</w:t>
      </w:r>
      <w:r w:rsidRPr="00541EC7">
        <w:rPr>
          <w:rFonts w:ascii="Times New Roman" w:hAnsi="Times New Roman" w:cs="Times New Roman"/>
          <w:sz w:val="24"/>
          <w:szCs w:val="24"/>
        </w:rPr>
        <w:t xml:space="preserve"> превращение глобальных брендов в локальные, существующи</w:t>
      </w:r>
      <w:r w:rsidR="00B1405B" w:rsidRPr="00541EC7">
        <w:rPr>
          <w:rFonts w:ascii="Times New Roman" w:hAnsi="Times New Roman" w:cs="Times New Roman"/>
          <w:sz w:val="24"/>
          <w:szCs w:val="24"/>
        </w:rPr>
        <w:t xml:space="preserve">х </w:t>
      </w:r>
      <w:r w:rsidRPr="00541EC7">
        <w:rPr>
          <w:rFonts w:ascii="Times New Roman" w:hAnsi="Times New Roman" w:cs="Times New Roman"/>
          <w:sz w:val="24"/>
          <w:szCs w:val="24"/>
        </w:rPr>
        <w:t>исключительно на рынке России.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Так,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 xml:space="preserve"> в лице производителя (боттлера) в РФ –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HBC</w:t>
      </w:r>
      <w:r w:rsidRPr="00541EC7">
        <w:rPr>
          <w:rFonts w:ascii="Times New Roman" w:hAnsi="Times New Roman" w:cs="Times New Roman"/>
          <w:sz w:val="24"/>
          <w:szCs w:val="24"/>
        </w:rPr>
        <w:t xml:space="preserve"> Россия (ныне – </w:t>
      </w:r>
      <w:r w:rsidRPr="00541EC7">
        <w:rPr>
          <w:rFonts w:ascii="Times New Roman" w:hAnsi="Times New Roman"/>
          <w:sz w:val="24"/>
          <w:szCs w:val="24"/>
          <w:lang w:eastAsia="ru-RU"/>
        </w:rPr>
        <w:t>«</w:t>
      </w:r>
      <w:r w:rsidRPr="00541EC7">
        <w:rPr>
          <w:rFonts w:ascii="Times New Roman" w:hAnsi="Times New Roman" w:cs="Times New Roman"/>
          <w:sz w:val="24"/>
          <w:szCs w:val="24"/>
        </w:rPr>
        <w:t>Мултон Партнерс</w:t>
      </w:r>
      <w:r w:rsidRPr="00541EC7">
        <w:rPr>
          <w:rFonts w:ascii="Times New Roman" w:hAnsi="Times New Roman"/>
          <w:sz w:val="24"/>
          <w:szCs w:val="24"/>
          <w:lang w:eastAsia="ru-RU"/>
        </w:rPr>
        <w:t>»</w:t>
      </w:r>
      <w:r w:rsidRPr="00541EC7">
        <w:rPr>
          <w:rFonts w:ascii="Times New Roman" w:hAnsi="Times New Roman" w:cs="Times New Roman"/>
          <w:sz w:val="24"/>
          <w:szCs w:val="24"/>
        </w:rPr>
        <w:t>) приняла решение о запуске новой линейки, на базе существующего бренда «Добрый». В линейке газированных напитков (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541EC7">
        <w:rPr>
          <w:rFonts w:ascii="Times New Roman" w:hAnsi="Times New Roman" w:cs="Times New Roman"/>
          <w:sz w:val="24"/>
          <w:szCs w:val="24"/>
        </w:rPr>
        <w:t xml:space="preserve"> –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Sparkling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Drinks</w:t>
      </w:r>
      <w:r w:rsidRPr="00541EC7">
        <w:rPr>
          <w:rFonts w:ascii="Times New Roman" w:hAnsi="Times New Roman" w:cs="Times New Roman"/>
          <w:sz w:val="24"/>
          <w:szCs w:val="24"/>
        </w:rPr>
        <w:t xml:space="preserve">) компания анонсировала новые вкусы: «Добрый Кола», «Добрый Лимон-Лайм», «Добрый Апельсин»; </w:t>
      </w:r>
      <w:r w:rsidR="00171BAF">
        <w:rPr>
          <w:rFonts w:ascii="Times New Roman" w:hAnsi="Times New Roman" w:cs="Times New Roman"/>
          <w:sz w:val="24"/>
          <w:szCs w:val="24"/>
        </w:rPr>
        <w:t xml:space="preserve">в </w:t>
      </w:r>
      <w:r w:rsidRPr="00541EC7">
        <w:rPr>
          <w:rFonts w:ascii="Times New Roman" w:hAnsi="Times New Roman" w:cs="Times New Roman"/>
          <w:sz w:val="24"/>
          <w:szCs w:val="24"/>
        </w:rPr>
        <w:t xml:space="preserve">линейке традиционных лимонадов: «Добрый Сибирские Травы», «Добрый Лимонад», «Добрый Вишня», «Добрый Дюшес» а также «Добрый Манго-Маракуя». Свои полностью ушедшие бренды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Schweppes</w:t>
      </w:r>
      <w:r w:rsidRPr="00541EC7">
        <w:rPr>
          <w:rFonts w:ascii="Times New Roman" w:hAnsi="Times New Roman" w:cs="Times New Roman"/>
          <w:sz w:val="24"/>
          <w:szCs w:val="24"/>
        </w:rPr>
        <w:t xml:space="preserve"> и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FuzeTea</w:t>
      </w:r>
      <w:r w:rsidRPr="00541EC7">
        <w:rPr>
          <w:rFonts w:ascii="Times New Roman" w:hAnsi="Times New Roman" w:cs="Times New Roman"/>
          <w:sz w:val="24"/>
          <w:szCs w:val="24"/>
        </w:rPr>
        <w:t xml:space="preserve"> компания заменила локальным брендом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Rich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Default="0051633B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51633B" w:rsidRPr="00541EC7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Невзирая на ряд негативных рыночных предпосылок, на уровне желаний потребителей существует консенсус в части отношения ко многим ушедшим брендам. На июнь 2022 г. 59% потребителей были рады появлению новинок, 36% были бы рады, если бы появилась замена их любимым ушедшим брендам</w:t>
      </w:r>
      <w:r w:rsidRPr="00541EC7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541EC7">
        <w:rPr>
          <w:rFonts w:ascii="Times New Roman" w:hAnsi="Times New Roman" w:cs="Times New Roman"/>
          <w:sz w:val="24"/>
          <w:szCs w:val="24"/>
        </w:rPr>
        <w:t>. Более двух третей потребителей (69%) замечают новые бренды и любят их пробовать</w:t>
      </w:r>
      <w:r w:rsidRPr="00541EC7"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541EC7">
        <w:rPr>
          <w:rFonts w:ascii="Times New Roman" w:hAnsi="Times New Roman" w:cs="Times New Roman"/>
          <w:sz w:val="24"/>
          <w:szCs w:val="24"/>
        </w:rPr>
        <w:t>. Тем не менее, такая сильная интенция приобретать новинки может оказать и негативное влияние на «Мултон Партнерс», так как конкуренты значительно активизировались: 102 бренда в категории газированных напитков, которые на продавались ранее, вышли на рынок</w:t>
      </w:r>
      <w:r w:rsidRPr="00541EC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41EC7">
        <w:rPr>
          <w:rFonts w:ascii="Times New Roman" w:hAnsi="Times New Roman" w:cs="Times New Roman"/>
          <w:sz w:val="24"/>
          <w:szCs w:val="24"/>
        </w:rPr>
        <w:t>. Очевидно, что подобный рост обусловлен прежде всего уходом с рынка старого портфолио компании. Так 56% потребителей отмечают, что скучают по бренду «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>», 13% по бренду «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Pr="00541EC7">
        <w:rPr>
          <w:rFonts w:ascii="Times New Roman" w:hAnsi="Times New Roman" w:cs="Times New Roman"/>
          <w:sz w:val="24"/>
          <w:szCs w:val="24"/>
        </w:rPr>
        <w:t>» и 9% по бренду «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Sprite</w:t>
      </w:r>
      <w:r w:rsidRPr="00541EC7">
        <w:rPr>
          <w:rFonts w:ascii="Times New Roman" w:hAnsi="Times New Roman" w:cs="Times New Roman"/>
          <w:sz w:val="24"/>
          <w:szCs w:val="24"/>
        </w:rPr>
        <w:t>»</w:t>
      </w:r>
      <w:r w:rsidRPr="00541EC7">
        <w:rPr>
          <w:rStyle w:val="af6"/>
          <w:rFonts w:ascii="Times New Roman" w:hAnsi="Times New Roman" w:cs="Times New Roman"/>
          <w:sz w:val="24"/>
          <w:szCs w:val="24"/>
        </w:rPr>
        <w:footnoteReference w:id="4"/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Неоднозначность в отношении рыночной ситуации </w:t>
      </w:r>
      <w:r w:rsidR="00424908" w:rsidRPr="00541EC7">
        <w:rPr>
          <w:rFonts w:ascii="Times New Roman" w:hAnsi="Times New Roman" w:cs="Times New Roman"/>
          <w:sz w:val="24"/>
          <w:szCs w:val="24"/>
        </w:rPr>
        <w:t xml:space="preserve">делает актуальным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424908" w:rsidRPr="00541EC7">
        <w:rPr>
          <w:rFonts w:ascii="Times New Roman" w:hAnsi="Times New Roman" w:cs="Times New Roman"/>
          <w:sz w:val="24"/>
          <w:szCs w:val="24"/>
        </w:rPr>
        <w:t>о том, как вернуть лидерство компании, про</w:t>
      </w:r>
      <w:r w:rsidRPr="00541EC7">
        <w:rPr>
          <w:rFonts w:ascii="Times New Roman" w:hAnsi="Times New Roman" w:cs="Times New Roman"/>
          <w:sz w:val="24"/>
          <w:szCs w:val="24"/>
        </w:rPr>
        <w:t>анализ</w:t>
      </w:r>
      <w:r w:rsidR="00424908" w:rsidRPr="00541EC7">
        <w:rPr>
          <w:rFonts w:ascii="Times New Roman" w:hAnsi="Times New Roman" w:cs="Times New Roman"/>
          <w:sz w:val="24"/>
          <w:szCs w:val="24"/>
        </w:rPr>
        <w:t>ировав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424908" w:rsidRPr="00541EC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541EC7">
        <w:rPr>
          <w:rFonts w:ascii="Times New Roman" w:hAnsi="Times New Roman" w:cs="Times New Roman"/>
          <w:sz w:val="24"/>
          <w:szCs w:val="24"/>
        </w:rPr>
        <w:t>запуска брендов</w:t>
      </w:r>
      <w:r w:rsidR="00424908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15332" w:rsidRPr="00715332">
        <w:rPr>
          <w:rFonts w:ascii="Times New Roman" w:hAnsi="Times New Roman" w:cs="Times New Roman"/>
          <w:i/>
          <w:sz w:val="24"/>
          <w:szCs w:val="24"/>
        </w:rPr>
        <w:t>(табл.</w:t>
      </w:r>
      <w:r w:rsidRPr="00715332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541EC7">
        <w:rPr>
          <w:rFonts w:ascii="Times New Roman" w:hAnsi="Times New Roman" w:cs="Times New Roman"/>
          <w:sz w:val="24"/>
          <w:szCs w:val="24"/>
        </w:rPr>
        <w:t>).</w:t>
      </w:r>
    </w:p>
    <w:p w:rsidR="00300954" w:rsidRPr="00541EC7" w:rsidRDefault="00300954" w:rsidP="00C5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1BD" w:rsidRDefault="004B41BD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00954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Положительные и негативные предпосылки для «Мултон Партнерс»</w:t>
      </w:r>
      <w:r w:rsidR="002F19D2">
        <w:rPr>
          <w:rFonts w:ascii="Times New Roman" w:hAnsi="Times New Roman" w:cs="Times New Roman"/>
          <w:sz w:val="24"/>
          <w:szCs w:val="24"/>
        </w:rPr>
        <w:t xml:space="preserve"> (составлено автором)</w:t>
      </w:r>
    </w:p>
    <w:p w:rsidR="00CA389C" w:rsidRPr="007E0B7B" w:rsidRDefault="00CA389C" w:rsidP="00CA3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p w:rsidR="00CA389C" w:rsidRPr="002F19D2" w:rsidRDefault="00CA389C" w:rsidP="00CA38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389C">
        <w:rPr>
          <w:rFonts w:ascii="Times New Roman" w:hAnsi="Times New Roman" w:cs="Times New Roman"/>
          <w:sz w:val="24"/>
          <w:szCs w:val="24"/>
          <w:lang w:val="en-US"/>
        </w:rPr>
        <w:t>Positive and negative assumptions for Moulton Partners</w:t>
      </w:r>
      <w:r w:rsidR="002F19D2" w:rsidRPr="002F19D2">
        <w:rPr>
          <w:rFonts w:ascii="Times New Roman" w:hAnsi="Times New Roman" w:cs="Times New Roman"/>
          <w:sz w:val="24"/>
          <w:szCs w:val="24"/>
          <w:lang w:val="en-US"/>
        </w:rPr>
        <w:t xml:space="preserve"> (compiled by author)</w:t>
      </w:r>
    </w:p>
    <w:tbl>
      <w:tblPr>
        <w:tblStyle w:val="a7"/>
        <w:tblW w:w="9634" w:type="dxa"/>
        <w:tblLook w:val="04A0"/>
      </w:tblPr>
      <w:tblGrid>
        <w:gridCol w:w="3936"/>
        <w:gridCol w:w="5698"/>
      </w:tblGrid>
      <w:tr w:rsidR="00300954" w:rsidRPr="004B41BD" w:rsidTr="004B41BD">
        <w:tc>
          <w:tcPr>
            <w:tcW w:w="3936" w:type="dxa"/>
          </w:tcPr>
          <w:p w:rsidR="00300954" w:rsidRPr="004B41BD" w:rsidRDefault="00300954" w:rsidP="00C54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предпосылки</w:t>
            </w:r>
          </w:p>
        </w:tc>
        <w:tc>
          <w:tcPr>
            <w:tcW w:w="5698" w:type="dxa"/>
          </w:tcPr>
          <w:p w:rsidR="00300954" w:rsidRPr="004B41BD" w:rsidRDefault="00300954" w:rsidP="00C54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Негативные предпосылки</w:t>
            </w:r>
          </w:p>
        </w:tc>
      </w:tr>
      <w:tr w:rsidR="00300954" w:rsidRPr="004B41BD" w:rsidTr="004B41BD">
        <w:tc>
          <w:tcPr>
            <w:tcW w:w="3936" w:type="dxa"/>
            <w:vAlign w:val="center"/>
          </w:tcPr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категории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денежном выражении;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Намерение ретейлеров вводить новинки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Потребители готовы переключаться на новинки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Потребители скучают по ушедшим брендам компании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и экспертность компании ввиду ее лидерства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мощности и способность обеспечить лидерство на рынке</w:t>
            </w:r>
          </w:p>
        </w:tc>
        <w:tc>
          <w:tcPr>
            <w:tcW w:w="5698" w:type="dxa"/>
            <w:vAlign w:val="center"/>
          </w:tcPr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Поляризация аудитории потребителей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спроса на СТМ-ритейлеров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потребителей на более дешевые бренды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отказать от категории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ввиду импульс</w:t>
            </w:r>
            <w:r w:rsidR="00424908"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характера её покупок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Негативная </w:t>
            </w:r>
            <w:r w:rsidR="00424908"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потребительской уверенности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Драматичное падение спроса на питания вне дома</w:t>
            </w:r>
          </w:p>
          <w:p w:rsidR="00300954" w:rsidRPr="004B41BD" w:rsidRDefault="00300954" w:rsidP="00C5461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доли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FMCG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Food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структуре кошелька</w:t>
            </w:r>
          </w:p>
          <w:p w:rsidR="00300954" w:rsidRPr="004B41BD" w:rsidRDefault="00300954" w:rsidP="00C5461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Падение категории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натуральном выражении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Намерение ритейлеров импортировать товары</w:t>
            </w:r>
          </w:p>
          <w:p w:rsidR="00300954" w:rsidRPr="004B41BD" w:rsidRDefault="00300954" w:rsidP="00C54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1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Намерение конкурентов запускать новые товары</w:t>
            </w:r>
          </w:p>
        </w:tc>
      </w:tr>
    </w:tbl>
    <w:p w:rsidR="00300954" w:rsidRPr="00541EC7" w:rsidRDefault="00300954" w:rsidP="00C5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lastRenderedPageBreak/>
        <w:t xml:space="preserve">Так как выбор потребителей </w:t>
      </w:r>
      <w:r w:rsidR="003065AE" w:rsidRPr="00541EC7">
        <w:rPr>
          <w:rFonts w:ascii="Times New Roman" w:hAnsi="Times New Roman" w:cs="Times New Roman"/>
          <w:sz w:val="24"/>
          <w:szCs w:val="24"/>
        </w:rPr>
        <w:t>играет решающую роль в</w:t>
      </w:r>
      <w:r w:rsidR="00424908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3065AE" w:rsidRPr="00541EC7">
        <w:rPr>
          <w:rFonts w:ascii="Times New Roman" w:hAnsi="Times New Roman" w:cs="Times New Roman"/>
          <w:sz w:val="24"/>
          <w:szCs w:val="24"/>
        </w:rPr>
        <w:t xml:space="preserve">успехе </w:t>
      </w:r>
      <w:r w:rsidRPr="00541EC7">
        <w:rPr>
          <w:rFonts w:ascii="Times New Roman" w:hAnsi="Times New Roman" w:cs="Times New Roman"/>
          <w:sz w:val="24"/>
          <w:szCs w:val="24"/>
        </w:rPr>
        <w:t xml:space="preserve">компании на рынке, особенно в условиях высокой конкуренции и волатильности, важно изучить, как </w:t>
      </w:r>
      <w:r w:rsidR="003065AE" w:rsidRPr="00541EC7">
        <w:rPr>
          <w:rFonts w:ascii="Times New Roman" w:hAnsi="Times New Roman" w:cs="Times New Roman"/>
          <w:sz w:val="24"/>
          <w:szCs w:val="24"/>
        </w:rPr>
        <w:t xml:space="preserve">уже выведенные на рынок </w:t>
      </w:r>
      <w:r w:rsidRPr="00541EC7">
        <w:rPr>
          <w:rFonts w:ascii="Times New Roman" w:hAnsi="Times New Roman" w:cs="Times New Roman"/>
          <w:sz w:val="24"/>
          <w:szCs w:val="24"/>
        </w:rPr>
        <w:t>новинки компании воспринимают</w:t>
      </w:r>
      <w:r w:rsidR="003065AE" w:rsidRPr="00541EC7">
        <w:rPr>
          <w:rFonts w:ascii="Times New Roman" w:hAnsi="Times New Roman" w:cs="Times New Roman"/>
          <w:sz w:val="24"/>
          <w:szCs w:val="24"/>
        </w:rPr>
        <w:t>ся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3065AE" w:rsidRPr="00541EC7">
        <w:rPr>
          <w:rFonts w:ascii="Times New Roman" w:hAnsi="Times New Roman" w:cs="Times New Roman"/>
          <w:sz w:val="24"/>
          <w:szCs w:val="24"/>
        </w:rPr>
        <w:t>потребителями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Pr="00541EC7" w:rsidRDefault="003065A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При этом, поскольку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триада брендов: </w:t>
      </w:r>
      <w:r w:rsidR="00300954"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="00300954" w:rsidRPr="00541EC7">
        <w:rPr>
          <w:rFonts w:ascii="Times New Roman" w:hAnsi="Times New Roman" w:cs="Times New Roman"/>
          <w:sz w:val="24"/>
          <w:szCs w:val="24"/>
        </w:rPr>
        <w:t>-</w:t>
      </w:r>
      <w:r w:rsidR="00300954"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="00300954" w:rsidRPr="00541EC7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="00300954" w:rsidRPr="00541EC7">
        <w:rPr>
          <w:rFonts w:ascii="Times New Roman" w:hAnsi="Times New Roman" w:cs="Times New Roman"/>
          <w:sz w:val="24"/>
          <w:szCs w:val="24"/>
          <w:lang w:val="en-US"/>
        </w:rPr>
        <w:t>Sprite</w:t>
      </w:r>
      <w:r w:rsidRPr="00541EC7">
        <w:rPr>
          <w:rFonts w:ascii="Times New Roman" w:hAnsi="Times New Roman" w:cs="Times New Roman"/>
          <w:sz w:val="24"/>
          <w:szCs w:val="24"/>
        </w:rPr>
        <w:t>, –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являлись лидерами категории, </w:t>
      </w:r>
      <w:r w:rsidRPr="00541EC7">
        <w:rPr>
          <w:rFonts w:ascii="Times New Roman" w:hAnsi="Times New Roman" w:cs="Times New Roman"/>
          <w:sz w:val="24"/>
          <w:szCs w:val="24"/>
        </w:rPr>
        <w:t>в данной статье внимание концентрируется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00954" w:rsidRPr="00541EC7">
        <w:rPr>
          <w:rFonts w:ascii="Times New Roman" w:hAnsi="Times New Roman" w:cs="Times New Roman"/>
          <w:sz w:val="24"/>
          <w:szCs w:val="24"/>
        </w:rPr>
        <w:t>на них</w:t>
      </w:r>
      <w:r w:rsidRPr="00541EC7">
        <w:rPr>
          <w:rFonts w:ascii="Times New Roman" w:hAnsi="Times New Roman" w:cs="Times New Roman"/>
          <w:sz w:val="24"/>
          <w:szCs w:val="24"/>
        </w:rPr>
        <w:t>,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их </w:t>
      </w:r>
      <w:r w:rsidR="00715332">
        <w:rPr>
          <w:rFonts w:ascii="Times New Roman" w:hAnsi="Times New Roman" w:cs="Times New Roman"/>
          <w:sz w:val="24"/>
          <w:szCs w:val="24"/>
        </w:rPr>
        <w:t xml:space="preserve">аналогах в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рамках бренда </w:t>
      </w:r>
      <w:r w:rsidR="00300954" w:rsidRPr="00541EC7">
        <w:rPr>
          <w:rFonts w:ascii="Times New Roman" w:hAnsi="Times New Roman"/>
          <w:sz w:val="24"/>
          <w:szCs w:val="24"/>
          <w:lang w:eastAsia="ru-RU"/>
        </w:rPr>
        <w:t>«</w:t>
      </w:r>
      <w:r w:rsidR="00300954" w:rsidRPr="00541EC7">
        <w:rPr>
          <w:rFonts w:ascii="Times New Roman" w:hAnsi="Times New Roman" w:cs="Times New Roman"/>
          <w:sz w:val="24"/>
          <w:szCs w:val="24"/>
        </w:rPr>
        <w:t>Добрый</w:t>
      </w:r>
      <w:r w:rsidR="00300954" w:rsidRPr="00541EC7">
        <w:rPr>
          <w:rFonts w:ascii="Times New Roman" w:hAnsi="Times New Roman"/>
          <w:sz w:val="24"/>
          <w:szCs w:val="24"/>
          <w:lang w:eastAsia="ru-RU"/>
        </w:rPr>
        <w:t>».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4A5215" w:rsidRPr="00541EC7">
        <w:rPr>
          <w:rFonts w:ascii="Times New Roman" w:hAnsi="Times New Roman" w:cs="Times New Roman"/>
          <w:sz w:val="24"/>
          <w:szCs w:val="24"/>
        </w:rPr>
        <w:t xml:space="preserve">Говоря конкретнее, исследовательский </w:t>
      </w:r>
      <w:r w:rsidR="00300954" w:rsidRPr="00541EC7">
        <w:rPr>
          <w:rFonts w:ascii="Times New Roman" w:hAnsi="Times New Roman" w:cs="Times New Roman"/>
          <w:sz w:val="24"/>
          <w:szCs w:val="24"/>
        </w:rPr>
        <w:t>вопрос с</w:t>
      </w:r>
      <w:r w:rsidR="004A5215" w:rsidRPr="00541EC7">
        <w:rPr>
          <w:rFonts w:ascii="Times New Roman" w:hAnsi="Times New Roman" w:cs="Times New Roman"/>
          <w:sz w:val="24"/>
          <w:szCs w:val="24"/>
        </w:rPr>
        <w:t xml:space="preserve">татьи </w:t>
      </w:r>
      <w:r w:rsidR="00300954" w:rsidRPr="00541EC7">
        <w:rPr>
          <w:rFonts w:ascii="Times New Roman" w:hAnsi="Times New Roman" w:cs="Times New Roman"/>
          <w:sz w:val="24"/>
          <w:szCs w:val="24"/>
        </w:rPr>
        <w:t>формулир</w:t>
      </w:r>
      <w:r w:rsidR="004A5215" w:rsidRPr="00541EC7">
        <w:rPr>
          <w:rFonts w:ascii="Times New Roman" w:hAnsi="Times New Roman" w:cs="Times New Roman"/>
          <w:sz w:val="24"/>
          <w:szCs w:val="24"/>
        </w:rPr>
        <w:t>уется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следующим образом: как потребители воспринимают новые бренды газированных напитков «Мултон Партнерс» в </w:t>
      </w:r>
      <w:r w:rsidRPr="00541EC7">
        <w:rPr>
          <w:rFonts w:ascii="Times New Roman" w:hAnsi="Times New Roman" w:cs="Times New Roman"/>
          <w:sz w:val="24"/>
          <w:szCs w:val="24"/>
        </w:rPr>
        <w:t xml:space="preserve">сравнении с ушедшими с рынка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старыми </w:t>
      </w:r>
      <w:r w:rsidR="004A5215" w:rsidRPr="00541EC7">
        <w:rPr>
          <w:rFonts w:ascii="Times New Roman" w:hAnsi="Times New Roman" w:cs="Times New Roman"/>
          <w:sz w:val="24"/>
          <w:szCs w:val="24"/>
        </w:rPr>
        <w:t>брендами</w:t>
      </w:r>
      <w:r w:rsidR="00300954" w:rsidRPr="00541EC7">
        <w:rPr>
          <w:rFonts w:ascii="Times New Roman" w:hAnsi="Times New Roman" w:cs="Times New Roman"/>
          <w:sz w:val="24"/>
          <w:szCs w:val="24"/>
        </w:rPr>
        <w:t>?</w:t>
      </w:r>
    </w:p>
    <w:p w:rsidR="00CA389C" w:rsidRDefault="00CA389C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389C" w:rsidRDefault="00CA389C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632">
        <w:rPr>
          <w:rFonts w:ascii="Times New Roman" w:hAnsi="Times New Roman" w:cs="Times New Roman"/>
          <w:b/>
          <w:sz w:val="24"/>
          <w:szCs w:val="24"/>
        </w:rPr>
        <w:t>Методы (Materials and Methods)</w:t>
      </w:r>
    </w:p>
    <w:p w:rsidR="00CA389C" w:rsidRDefault="00CA389C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0954" w:rsidRPr="00541EC7" w:rsidRDefault="00F6599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На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300954" w:rsidRPr="00541EC7">
        <w:rPr>
          <w:rFonts w:ascii="Times New Roman" w:hAnsi="Times New Roman" w:cs="Times New Roman"/>
          <w:sz w:val="24"/>
          <w:szCs w:val="24"/>
        </w:rPr>
        <w:t>этап</w:t>
      </w:r>
      <w:r w:rsidRPr="00541EC7">
        <w:rPr>
          <w:rFonts w:ascii="Times New Roman" w:hAnsi="Times New Roman" w:cs="Times New Roman"/>
          <w:sz w:val="24"/>
          <w:szCs w:val="24"/>
        </w:rPr>
        <w:t>е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34C8B" w:rsidRPr="00541EC7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300954" w:rsidRPr="00541EC7">
        <w:rPr>
          <w:rFonts w:ascii="Times New Roman" w:hAnsi="Times New Roman" w:cs="Times New Roman"/>
          <w:sz w:val="24"/>
          <w:szCs w:val="24"/>
        </w:rPr>
        <w:t>качественно</w:t>
      </w:r>
      <w:r w:rsidR="00734C8B" w:rsidRPr="00541EC7">
        <w:rPr>
          <w:rFonts w:ascii="Times New Roman" w:hAnsi="Times New Roman" w:cs="Times New Roman"/>
          <w:sz w:val="24"/>
          <w:szCs w:val="24"/>
        </w:rPr>
        <w:t>е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734C8B" w:rsidRPr="00541EC7">
        <w:rPr>
          <w:rFonts w:ascii="Times New Roman" w:hAnsi="Times New Roman" w:cs="Times New Roman"/>
          <w:sz w:val="24"/>
          <w:szCs w:val="24"/>
        </w:rPr>
        <w:t>,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34C8B" w:rsidRPr="00541EC7">
        <w:rPr>
          <w:rFonts w:ascii="Times New Roman" w:hAnsi="Times New Roman" w:cs="Times New Roman"/>
          <w:sz w:val="24"/>
          <w:szCs w:val="24"/>
        </w:rPr>
        <w:t>позволи</w:t>
      </w:r>
      <w:r w:rsidRPr="00541EC7">
        <w:rPr>
          <w:rFonts w:ascii="Times New Roman" w:hAnsi="Times New Roman" w:cs="Times New Roman"/>
          <w:sz w:val="24"/>
          <w:szCs w:val="24"/>
        </w:rPr>
        <w:t>вшее</w:t>
      </w:r>
      <w:r w:rsidR="00734C8B" w:rsidRPr="00541EC7">
        <w:rPr>
          <w:rFonts w:ascii="Times New Roman" w:hAnsi="Times New Roman" w:cs="Times New Roman"/>
          <w:sz w:val="24"/>
          <w:szCs w:val="24"/>
        </w:rPr>
        <w:t xml:space="preserve"> узнать,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 каких терминах, </w:t>
      </w:r>
      <w:r w:rsidR="00734C8B" w:rsidRPr="00541EC7">
        <w:rPr>
          <w:rFonts w:ascii="Times New Roman" w:hAnsi="Times New Roman" w:cs="Times New Roman"/>
          <w:sz w:val="24"/>
          <w:szCs w:val="24"/>
        </w:rPr>
        <w:t xml:space="preserve">по каким </w:t>
      </w:r>
      <w:r w:rsidR="00300954" w:rsidRPr="00541EC7">
        <w:rPr>
          <w:rFonts w:ascii="Times New Roman" w:hAnsi="Times New Roman" w:cs="Times New Roman"/>
          <w:sz w:val="24"/>
          <w:szCs w:val="24"/>
        </w:rPr>
        <w:t>характеристик</w:t>
      </w:r>
      <w:r w:rsidR="00734C8B" w:rsidRPr="00541EC7">
        <w:rPr>
          <w:rFonts w:ascii="Times New Roman" w:hAnsi="Times New Roman" w:cs="Times New Roman"/>
          <w:sz w:val="24"/>
          <w:szCs w:val="24"/>
        </w:rPr>
        <w:t xml:space="preserve">ам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потребители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воспринимают товары из категории газированных напитков, </w:t>
      </w:r>
      <w:r w:rsidR="00300954" w:rsidRPr="00541EC7">
        <w:rPr>
          <w:rFonts w:ascii="Times New Roman" w:hAnsi="Times New Roman" w:cs="Times New Roman"/>
          <w:sz w:val="24"/>
          <w:szCs w:val="24"/>
        </w:rPr>
        <w:t>сравнивают</w:t>
      </w:r>
      <w:r w:rsidRPr="00541EC7">
        <w:rPr>
          <w:rFonts w:ascii="Times New Roman" w:hAnsi="Times New Roman" w:cs="Times New Roman"/>
          <w:sz w:val="24"/>
          <w:szCs w:val="24"/>
        </w:rPr>
        <w:t xml:space="preserve"> их между собой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. </w:t>
      </w:r>
      <w:r w:rsidR="00CE7A50" w:rsidRPr="00541EC7">
        <w:rPr>
          <w:rFonts w:ascii="Times New Roman" w:hAnsi="Times New Roman" w:cs="Times New Roman"/>
          <w:sz w:val="24"/>
          <w:szCs w:val="24"/>
        </w:rPr>
        <w:t xml:space="preserve">При этом, поскольку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исследование нацелено на изучение брендов со стороны потребителей, </w:t>
      </w:r>
      <w:r w:rsidR="00CE7A50" w:rsidRPr="00541EC7">
        <w:rPr>
          <w:rFonts w:ascii="Times New Roman" w:hAnsi="Times New Roman" w:cs="Times New Roman"/>
          <w:sz w:val="24"/>
          <w:szCs w:val="24"/>
        </w:rPr>
        <w:t xml:space="preserve">то </w:t>
      </w:r>
      <w:r w:rsidR="007B442F" w:rsidRPr="00541EC7">
        <w:rPr>
          <w:rFonts w:ascii="Times New Roman" w:hAnsi="Times New Roman" w:cs="Times New Roman"/>
          <w:sz w:val="24"/>
          <w:szCs w:val="24"/>
        </w:rPr>
        <w:t>скрытые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="00734C8B" w:rsidRPr="00541EC7">
        <w:rPr>
          <w:rFonts w:ascii="Times New Roman" w:hAnsi="Times New Roman" w:cs="Times New Roman"/>
          <w:sz w:val="24"/>
          <w:szCs w:val="24"/>
        </w:rPr>
        <w:t xml:space="preserve">, лежащие за пределами восприятия </w:t>
      </w:r>
      <w:r w:rsidRPr="00541EC7">
        <w:rPr>
          <w:rFonts w:ascii="Times New Roman" w:hAnsi="Times New Roman" w:cs="Times New Roman"/>
          <w:sz w:val="24"/>
          <w:szCs w:val="24"/>
        </w:rPr>
        <w:t>покупателей, нас не интересовали</w:t>
      </w:r>
      <w:r w:rsidR="00300954" w:rsidRPr="00541EC7">
        <w:rPr>
          <w:rFonts w:ascii="Times New Roman" w:hAnsi="Times New Roman" w:cs="Times New Roman"/>
          <w:sz w:val="24"/>
          <w:szCs w:val="24"/>
        </w:rPr>
        <w:t>. Таким образом, первым этапом работы станет имплементация качественного поискового исследования потребител</w:t>
      </w:r>
      <w:r w:rsidRPr="00541EC7">
        <w:rPr>
          <w:rFonts w:ascii="Times New Roman" w:hAnsi="Times New Roman" w:cs="Times New Roman"/>
          <w:sz w:val="24"/>
          <w:szCs w:val="24"/>
        </w:rPr>
        <w:t xml:space="preserve">ей с </w:t>
      </w:r>
      <w:r w:rsidR="00300954" w:rsidRPr="00541EC7">
        <w:rPr>
          <w:rFonts w:ascii="Times New Roman" w:hAnsi="Times New Roman" w:cs="Times New Roman"/>
          <w:sz w:val="24"/>
          <w:szCs w:val="24"/>
        </w:rPr>
        <w:t>целью поиск</w:t>
      </w:r>
      <w:r w:rsidRPr="00541EC7">
        <w:rPr>
          <w:rFonts w:ascii="Times New Roman" w:hAnsi="Times New Roman" w:cs="Times New Roman"/>
          <w:sz w:val="24"/>
          <w:szCs w:val="24"/>
        </w:rPr>
        <w:t>а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факторов,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влияние которых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на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интенцию приобрести </w:t>
      </w:r>
      <w:r w:rsidR="00300954" w:rsidRPr="00541EC7">
        <w:rPr>
          <w:rFonts w:ascii="Times New Roman" w:hAnsi="Times New Roman" w:cs="Times New Roman"/>
          <w:sz w:val="24"/>
          <w:szCs w:val="24"/>
        </w:rPr>
        <w:t>товар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 далее будет изучаться.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>Именно в терминах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этих факторов было далее проведено сравнение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ушедших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с рынка </w:t>
      </w:r>
      <w:r w:rsidR="00300954" w:rsidRPr="00541EC7">
        <w:rPr>
          <w:rFonts w:ascii="Times New Roman" w:hAnsi="Times New Roman" w:cs="Times New Roman"/>
          <w:sz w:val="24"/>
          <w:szCs w:val="24"/>
        </w:rPr>
        <w:t>продуктов компании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 с новыми</w:t>
      </w:r>
      <w:r w:rsidR="00300954" w:rsidRPr="00541EC7">
        <w:rPr>
          <w:rFonts w:ascii="Times New Roman" w:hAnsi="Times New Roman" w:cs="Times New Roman"/>
          <w:sz w:val="24"/>
          <w:szCs w:val="24"/>
        </w:rPr>
        <w:t>.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был проведён </w:t>
      </w:r>
      <w:r w:rsidR="00300954" w:rsidRPr="00541EC7">
        <w:rPr>
          <w:rFonts w:ascii="Times New Roman" w:hAnsi="Times New Roman" w:cs="Times New Roman"/>
          <w:sz w:val="24"/>
          <w:szCs w:val="24"/>
        </w:rPr>
        <w:t>онлайн-опрос потребителей о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 том, как они </w:t>
      </w:r>
      <w:r w:rsidR="00300954" w:rsidRPr="00541EC7">
        <w:rPr>
          <w:rFonts w:ascii="Times New Roman" w:hAnsi="Times New Roman" w:cs="Times New Roman"/>
          <w:sz w:val="24"/>
          <w:szCs w:val="24"/>
        </w:rPr>
        <w:t>оцен</w:t>
      </w:r>
      <w:r w:rsidR="002D7CC4" w:rsidRPr="00541EC7">
        <w:rPr>
          <w:rFonts w:ascii="Times New Roman" w:hAnsi="Times New Roman" w:cs="Times New Roman"/>
          <w:sz w:val="24"/>
          <w:szCs w:val="24"/>
        </w:rPr>
        <w:t>ивают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300954" w:rsidRPr="00541EC7">
        <w:rPr>
          <w:rFonts w:ascii="Times New Roman" w:hAnsi="Times New Roman" w:cs="Times New Roman"/>
          <w:sz w:val="24"/>
          <w:szCs w:val="24"/>
        </w:rPr>
        <w:t>заявленных брендов.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Для понимания потребительски</w:t>
      </w:r>
      <w:r w:rsidR="00991190" w:rsidRPr="00541EC7">
        <w:rPr>
          <w:rFonts w:ascii="Times New Roman" w:hAnsi="Times New Roman" w:cs="Times New Roman"/>
          <w:sz w:val="24"/>
          <w:szCs w:val="24"/>
        </w:rPr>
        <w:t>х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 xml:space="preserve">преференций при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выборе газированных напитков </w:t>
      </w:r>
      <w:r w:rsidR="002D7CC4" w:rsidRPr="00541EC7">
        <w:rPr>
          <w:rFonts w:ascii="Times New Roman" w:hAnsi="Times New Roman" w:cs="Times New Roman"/>
          <w:sz w:val="24"/>
          <w:szCs w:val="24"/>
        </w:rPr>
        <w:t>была построена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регрессионная </w:t>
      </w:r>
      <w:r w:rsidRPr="00541EC7">
        <w:rPr>
          <w:rFonts w:ascii="Times New Roman" w:hAnsi="Times New Roman" w:cs="Times New Roman"/>
          <w:sz w:val="24"/>
          <w:szCs w:val="24"/>
        </w:rPr>
        <w:t>модель</w:t>
      </w:r>
      <w:r w:rsidR="00991190" w:rsidRPr="00541EC7">
        <w:rPr>
          <w:rFonts w:ascii="Times New Roman" w:hAnsi="Times New Roman" w:cs="Times New Roman"/>
          <w:sz w:val="24"/>
          <w:szCs w:val="24"/>
        </w:rPr>
        <w:t>,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 где в качестве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зависимой переменной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выступало </w:t>
      </w:r>
      <w:r w:rsidRPr="00541EC7">
        <w:rPr>
          <w:rFonts w:ascii="Times New Roman" w:hAnsi="Times New Roman" w:cs="Times New Roman"/>
          <w:sz w:val="24"/>
          <w:szCs w:val="24"/>
        </w:rPr>
        <w:t>намерение приобрести товар</w:t>
      </w:r>
      <w:r w:rsidR="002D7CC4" w:rsidRPr="00541EC7">
        <w:rPr>
          <w:rFonts w:ascii="Times New Roman" w:hAnsi="Times New Roman" w:cs="Times New Roman"/>
          <w:sz w:val="24"/>
          <w:szCs w:val="24"/>
        </w:rPr>
        <w:t>,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D7CC4" w:rsidRPr="00541EC7">
        <w:rPr>
          <w:rFonts w:ascii="Times New Roman" w:hAnsi="Times New Roman" w:cs="Times New Roman"/>
          <w:sz w:val="24"/>
          <w:szCs w:val="24"/>
        </w:rPr>
        <w:t xml:space="preserve">а в качестве </w:t>
      </w:r>
      <w:r w:rsidRPr="00541EC7">
        <w:rPr>
          <w:rFonts w:ascii="Times New Roman" w:hAnsi="Times New Roman" w:cs="Times New Roman"/>
          <w:sz w:val="24"/>
          <w:szCs w:val="24"/>
        </w:rPr>
        <w:t>независимы</w:t>
      </w:r>
      <w:r w:rsidR="002D7CC4" w:rsidRPr="00541EC7">
        <w:rPr>
          <w:rFonts w:ascii="Times New Roman" w:hAnsi="Times New Roman" w:cs="Times New Roman"/>
          <w:sz w:val="24"/>
          <w:szCs w:val="24"/>
        </w:rPr>
        <w:t>х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>– оценки товаров по факторам, найденным на первом этапе исследования</w:t>
      </w:r>
      <w:r w:rsidRPr="00541EC7">
        <w:rPr>
          <w:rFonts w:ascii="Times New Roman" w:hAnsi="Times New Roman" w:cs="Times New Roman"/>
          <w:sz w:val="24"/>
          <w:szCs w:val="24"/>
        </w:rPr>
        <w:t xml:space="preserve">. </w:t>
      </w:r>
      <w:r w:rsidR="00991190" w:rsidRPr="00541EC7">
        <w:rPr>
          <w:rFonts w:ascii="Times New Roman" w:hAnsi="Times New Roman" w:cs="Times New Roman"/>
          <w:sz w:val="24"/>
          <w:szCs w:val="24"/>
        </w:rPr>
        <w:t>По параметрам этой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>модели можно судить о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>направленности влияния каждого фактора на выбор газированных напитков и о значимости этого влияния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  <w:r w:rsidR="006E6CC6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>Далее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 xml:space="preserve">для содержательной </w:t>
      </w:r>
      <w:r w:rsidRPr="00541EC7">
        <w:rPr>
          <w:rFonts w:ascii="Times New Roman" w:hAnsi="Times New Roman" w:cs="Times New Roman"/>
          <w:sz w:val="24"/>
          <w:szCs w:val="24"/>
        </w:rPr>
        <w:t>интерпретации различий в потребительском восприятии брендов б</w:t>
      </w:r>
      <w:r w:rsidR="00991190" w:rsidRPr="00541EC7">
        <w:rPr>
          <w:rFonts w:ascii="Times New Roman" w:hAnsi="Times New Roman" w:cs="Times New Roman"/>
          <w:sz w:val="24"/>
          <w:szCs w:val="24"/>
        </w:rPr>
        <w:t>ыли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91190" w:rsidRPr="00541EC7">
        <w:rPr>
          <w:rFonts w:ascii="Times New Roman" w:hAnsi="Times New Roman" w:cs="Times New Roman"/>
          <w:sz w:val="24"/>
          <w:szCs w:val="24"/>
        </w:rPr>
        <w:t xml:space="preserve">построены карты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BA7A70" w:rsidRPr="00541EC7">
        <w:rPr>
          <w:rFonts w:ascii="Times New Roman" w:hAnsi="Times New Roman" w:cs="Times New Roman"/>
          <w:sz w:val="24"/>
          <w:szCs w:val="24"/>
        </w:rPr>
        <w:t>в пространстве, обобщённых факторов, найденных путём применения</w:t>
      </w:r>
      <w:r w:rsidRPr="00541EC7">
        <w:rPr>
          <w:rFonts w:ascii="Times New Roman" w:hAnsi="Times New Roman" w:cs="Times New Roman"/>
          <w:sz w:val="24"/>
          <w:szCs w:val="24"/>
        </w:rPr>
        <w:t xml:space="preserve"> метода главных компонент (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PCA</w:t>
      </w:r>
      <w:r w:rsidRPr="00541EC7">
        <w:rPr>
          <w:rFonts w:ascii="Times New Roman" w:hAnsi="Times New Roman" w:cs="Times New Roman"/>
          <w:sz w:val="24"/>
          <w:szCs w:val="24"/>
        </w:rPr>
        <w:t>)</w:t>
      </w:r>
      <w:r w:rsidR="00BA7A70" w:rsidRPr="00541EC7">
        <w:rPr>
          <w:rFonts w:ascii="Times New Roman" w:hAnsi="Times New Roman" w:cs="Times New Roman"/>
          <w:sz w:val="24"/>
          <w:szCs w:val="24"/>
        </w:rPr>
        <w:t xml:space="preserve"> к оценкам респондентов по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BA7A70" w:rsidRPr="00541EC7">
        <w:rPr>
          <w:rFonts w:ascii="Times New Roman" w:hAnsi="Times New Roman" w:cs="Times New Roman"/>
          <w:sz w:val="24"/>
          <w:szCs w:val="24"/>
        </w:rPr>
        <w:t xml:space="preserve">обозначенным </w:t>
      </w:r>
      <w:r w:rsidRPr="00541EC7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BA7A70" w:rsidRPr="00541EC7">
        <w:rPr>
          <w:rFonts w:ascii="Times New Roman" w:hAnsi="Times New Roman" w:cs="Times New Roman"/>
          <w:sz w:val="24"/>
          <w:szCs w:val="24"/>
        </w:rPr>
        <w:t>факторам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Default="0051633B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51633B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1A26CE" w:rsidRPr="00541EC7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На каждое интервью отводилось две итерации поиска пары и факторов различия. Так, всего было выявлено 20 основных факторов, на основе которых потребители сравнивают газированные напитки. После объединения похожих факторов, было получено 5 ключевых характеристик товаров, которые далее будут интегрированы в количественное исследование. Результаты интервью представлены в </w:t>
      </w:r>
      <w:r w:rsidR="00B15E20" w:rsidRPr="00B15E20">
        <w:rPr>
          <w:rFonts w:ascii="Times New Roman" w:hAnsi="Times New Roman" w:cs="Times New Roman"/>
          <w:i/>
          <w:sz w:val="24"/>
          <w:szCs w:val="24"/>
        </w:rPr>
        <w:t>т</w:t>
      </w:r>
      <w:r w:rsidRPr="00B15E20">
        <w:rPr>
          <w:rFonts w:ascii="Times New Roman" w:hAnsi="Times New Roman" w:cs="Times New Roman"/>
          <w:i/>
          <w:sz w:val="24"/>
          <w:szCs w:val="24"/>
        </w:rPr>
        <w:t>аблице 2.</w:t>
      </w:r>
      <w:r w:rsidRPr="00541EC7">
        <w:rPr>
          <w:rFonts w:ascii="Times New Roman" w:hAnsi="Times New Roman" w:cs="Times New Roman"/>
          <w:sz w:val="24"/>
          <w:szCs w:val="24"/>
        </w:rPr>
        <w:t xml:space="preserve"> Чаще всего потребители называли фактор вкуса, многие отмечали фактор узнаваемости, а также доверия к производителю, </w:t>
      </w:r>
      <w:r w:rsidR="00B15E20">
        <w:rPr>
          <w:rFonts w:ascii="Times New Roman" w:hAnsi="Times New Roman" w:cs="Times New Roman"/>
          <w:sz w:val="24"/>
          <w:szCs w:val="24"/>
        </w:rPr>
        <w:t xml:space="preserve">отсутствию </w:t>
      </w:r>
      <w:r w:rsidRPr="00541EC7">
        <w:rPr>
          <w:rFonts w:ascii="Times New Roman" w:hAnsi="Times New Roman" w:cs="Times New Roman"/>
          <w:sz w:val="24"/>
          <w:szCs w:val="24"/>
        </w:rPr>
        <w:t>вреда для здоровья и привлекательности</w:t>
      </w:r>
      <w:r w:rsidRPr="00541E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упаковки.</w:t>
      </w:r>
      <w:r w:rsidRPr="00541E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302C1E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Таблица 2</w:t>
      </w:r>
    </w:p>
    <w:p w:rsidR="00300954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Список выявленных факторов</w:t>
      </w:r>
      <w:r w:rsidR="002F19D2">
        <w:rPr>
          <w:rFonts w:ascii="Times New Roman" w:hAnsi="Times New Roman" w:cs="Times New Roman"/>
          <w:sz w:val="24"/>
          <w:szCs w:val="24"/>
        </w:rPr>
        <w:t xml:space="preserve"> (составлено автором)</w:t>
      </w:r>
    </w:p>
    <w:p w:rsidR="008114AD" w:rsidRPr="008114AD" w:rsidRDefault="008114AD" w:rsidP="008114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14AD">
        <w:rPr>
          <w:rFonts w:ascii="Times New Roman" w:hAnsi="Times New Roman" w:cs="Times New Roman"/>
          <w:sz w:val="24"/>
          <w:szCs w:val="24"/>
        </w:rPr>
        <w:t>Table 2</w:t>
      </w:r>
    </w:p>
    <w:p w:rsidR="008114AD" w:rsidRPr="002F19D2" w:rsidRDefault="008114AD" w:rsidP="008114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F19D2">
        <w:rPr>
          <w:rFonts w:ascii="Times New Roman" w:hAnsi="Times New Roman" w:cs="Times New Roman"/>
          <w:sz w:val="24"/>
          <w:szCs w:val="24"/>
          <w:lang w:val="en-US"/>
        </w:rPr>
        <w:t>List of identified factors</w:t>
      </w:r>
      <w:r w:rsidR="002F19D2" w:rsidRPr="002F19D2">
        <w:rPr>
          <w:rFonts w:ascii="Times New Roman" w:hAnsi="Times New Roman" w:cs="Times New Roman"/>
          <w:sz w:val="24"/>
          <w:szCs w:val="24"/>
          <w:lang w:val="en-US"/>
        </w:rPr>
        <w:t xml:space="preserve"> (compiled by author)</w:t>
      </w:r>
    </w:p>
    <w:p w:rsidR="00302C1E" w:rsidRPr="002F19D2" w:rsidRDefault="00302C1E" w:rsidP="00C5461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7938" w:type="dxa"/>
        <w:jc w:val="center"/>
        <w:tblLook w:val="04A0"/>
      </w:tblPr>
      <w:tblGrid>
        <w:gridCol w:w="1877"/>
        <w:gridCol w:w="2977"/>
        <w:gridCol w:w="3084"/>
      </w:tblGrid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#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</w:t>
            </w:r>
            <w:r w:rsidR="00AB3694"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упоминания</w:t>
            </w:r>
          </w:p>
        </w:tc>
      </w:tr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Вкус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(80%)</w:t>
            </w:r>
          </w:p>
        </w:tc>
      </w:tr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Популярность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/10 (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3/10 (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Привлекательность упаковки</w:t>
            </w: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2/10 (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300954" w:rsidRPr="00C02E9A" w:rsidTr="005F198A">
        <w:trPr>
          <w:trHeight w:val="20"/>
          <w:jc w:val="center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0954" w:rsidRPr="00C02E9A" w:rsidRDefault="00300954" w:rsidP="00C5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Вредность для здоровья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954" w:rsidRPr="00C02E9A" w:rsidRDefault="00300954" w:rsidP="00C5461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2/10 (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  <w:r w:rsidRPr="00C02E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6CE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A26CE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:rsidR="001A26CE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0431B" w:rsidRPr="00541EC7">
        <w:rPr>
          <w:rFonts w:ascii="Times New Roman" w:hAnsi="Times New Roman" w:cs="Times New Roman"/>
          <w:sz w:val="24"/>
          <w:szCs w:val="24"/>
        </w:rPr>
        <w:t>респондентов просили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60431B" w:rsidRPr="00541EC7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все </w:t>
      </w:r>
      <w:r w:rsidR="0060431B" w:rsidRPr="00541EC7">
        <w:rPr>
          <w:rFonts w:ascii="Times New Roman" w:hAnsi="Times New Roman" w:cs="Times New Roman"/>
          <w:sz w:val="24"/>
          <w:szCs w:val="24"/>
        </w:rPr>
        <w:t xml:space="preserve">шесть </w:t>
      </w:r>
      <w:r w:rsidRPr="00541EC7">
        <w:rPr>
          <w:rFonts w:ascii="Times New Roman" w:hAnsi="Times New Roman" w:cs="Times New Roman"/>
          <w:sz w:val="24"/>
          <w:szCs w:val="24"/>
        </w:rPr>
        <w:t xml:space="preserve">напитков («Добрый Кола», «Добрый Лимон-Лайм», «Добрый Апельсин»,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Sprite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Pr="00541EC7">
        <w:rPr>
          <w:rFonts w:ascii="Times New Roman" w:hAnsi="Times New Roman" w:cs="Times New Roman"/>
          <w:sz w:val="24"/>
          <w:szCs w:val="24"/>
        </w:rPr>
        <w:t xml:space="preserve">) по пяти характеристикам. Но поскольку способность давать характеристику вкуса является продуктом эмпирического взаимодействия с напитком, требовалось задавать этот вопрос только тем респондентам, которые действительно пробовали продукт. Следовательно, перед блоком вопросов о каждом напитке, респондентам предлагался вопрос о том, пробовали ли они напиток или </w:t>
      </w:r>
      <w:r w:rsidR="00492185" w:rsidRPr="00541EC7">
        <w:rPr>
          <w:rFonts w:ascii="Times New Roman" w:hAnsi="Times New Roman" w:cs="Times New Roman"/>
          <w:sz w:val="24"/>
          <w:szCs w:val="24"/>
        </w:rPr>
        <w:t xml:space="preserve">хотя бы </w:t>
      </w:r>
      <w:r w:rsidRPr="00541EC7">
        <w:rPr>
          <w:rFonts w:ascii="Times New Roman" w:hAnsi="Times New Roman" w:cs="Times New Roman"/>
          <w:sz w:val="24"/>
          <w:szCs w:val="24"/>
        </w:rPr>
        <w:t>слышали ли они что-либо о нем. Если респондент пробовал напиток, то ему предлагались все вопросы, включая вопрос о вкусе. Если респондент лишь слышал о напитке, то ему задавались все вопросы о характеристиках, кроме вкуса. Если же респондент ничего не слышал о напитке, то ему автоматически предлагался следующий блок вопросов о другом напитке.</w:t>
      </w:r>
    </w:p>
    <w:p w:rsidR="00300954" w:rsidRDefault="0051633B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A26CE">
        <w:rPr>
          <w:rFonts w:ascii="Times New Roman" w:hAnsi="Times New Roman" w:cs="Times New Roman"/>
          <w:sz w:val="24"/>
          <w:szCs w:val="24"/>
        </w:rPr>
        <w:t>….</w:t>
      </w:r>
    </w:p>
    <w:p w:rsidR="001A26CE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1A26CE" w:rsidRPr="00541EC7" w:rsidRDefault="001A26CE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С точки зрения «склонности приобрести» можно вновь выделить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541EC7">
        <w:rPr>
          <w:rFonts w:ascii="Times New Roman" w:hAnsi="Times New Roman" w:cs="Times New Roman"/>
          <w:sz w:val="24"/>
          <w:szCs w:val="24"/>
        </w:rPr>
        <w:t>-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541EC7">
        <w:rPr>
          <w:rFonts w:ascii="Times New Roman" w:hAnsi="Times New Roman" w:cs="Times New Roman"/>
          <w:sz w:val="24"/>
          <w:szCs w:val="24"/>
        </w:rPr>
        <w:t>, как напиток, обладающе</w:t>
      </w:r>
      <w:r w:rsidR="00A45BB1">
        <w:rPr>
          <w:rFonts w:ascii="Times New Roman" w:hAnsi="Times New Roman" w:cs="Times New Roman"/>
          <w:sz w:val="24"/>
          <w:szCs w:val="24"/>
        </w:rPr>
        <w:t>и</w:t>
      </w:r>
      <w:r w:rsidRPr="00541EC7">
        <w:rPr>
          <w:rFonts w:ascii="Times New Roman" w:hAnsi="Times New Roman" w:cs="Times New Roman"/>
          <w:sz w:val="24"/>
          <w:szCs w:val="24"/>
        </w:rPr>
        <w:t xml:space="preserve">й большей степенью привлекательности для приобретения потребителями. Так или иначе, намерение употребления или приобретения напитка еще не однозначно детерминируют данную модель поведения, но, опираясь на ряд исследований в области потребительского поведения, интенция к «приобретению» в большей степени показывает </w:t>
      </w:r>
      <w:r w:rsidR="00A45BB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541EC7">
        <w:rPr>
          <w:rFonts w:ascii="Times New Roman" w:hAnsi="Times New Roman" w:cs="Times New Roman"/>
          <w:sz w:val="24"/>
          <w:szCs w:val="24"/>
        </w:rPr>
        <w:t>истинное намерение потребителей, чем какая-либо иная переменная, которую можно измерить не в экспериментальной форме</w:t>
      </w:r>
      <w:r w:rsidR="00A45BB1">
        <w:rPr>
          <w:rFonts w:ascii="Times New Roman" w:hAnsi="Times New Roman" w:cs="Times New Roman"/>
          <w:sz w:val="24"/>
          <w:szCs w:val="24"/>
        </w:rPr>
        <w:t>.</w:t>
      </w:r>
      <w:r w:rsidR="00A45BB1">
        <w:rPr>
          <w:rStyle w:val="af6"/>
          <w:rFonts w:ascii="Times New Roman" w:hAnsi="Times New Roman" w:cs="Times New Roman"/>
          <w:sz w:val="24"/>
          <w:szCs w:val="24"/>
        </w:rPr>
        <w:footnoteReference w:id="5"/>
      </w:r>
    </w:p>
    <w:p w:rsidR="002E3FD4" w:rsidRDefault="002E3FD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3FD4" w:rsidRDefault="002E3FD4" w:rsidP="00C54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632">
        <w:rPr>
          <w:rFonts w:ascii="Times New Roman" w:hAnsi="Times New Roman" w:cs="Times New Roman"/>
          <w:b/>
          <w:sz w:val="24"/>
          <w:szCs w:val="24"/>
        </w:rPr>
        <w:t>Результаты (Results)</w:t>
      </w:r>
    </w:p>
    <w:p w:rsidR="002E3FD4" w:rsidRDefault="002E3FD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Итоговые результаты потребительских оценок напитков по факторам – представлены на тепловой карте </w:t>
      </w:r>
      <w:r w:rsidRPr="00A45BB1">
        <w:rPr>
          <w:rFonts w:ascii="Times New Roman" w:hAnsi="Times New Roman" w:cs="Times New Roman"/>
          <w:i/>
          <w:sz w:val="24"/>
          <w:szCs w:val="24"/>
        </w:rPr>
        <w:t>(</w:t>
      </w:r>
      <w:r w:rsidR="00A45BB1" w:rsidRPr="00A45BB1">
        <w:rPr>
          <w:rFonts w:ascii="Times New Roman" w:hAnsi="Times New Roman" w:cs="Times New Roman"/>
          <w:i/>
          <w:sz w:val="24"/>
          <w:szCs w:val="24"/>
        </w:rPr>
        <w:t>рис.</w:t>
      </w:r>
      <w:r w:rsidRPr="00A45BB1">
        <w:rPr>
          <w:rFonts w:ascii="Times New Roman" w:hAnsi="Times New Roman" w:cs="Times New Roman"/>
          <w:i/>
          <w:sz w:val="24"/>
          <w:szCs w:val="24"/>
        </w:rPr>
        <w:t xml:space="preserve"> 1) </w:t>
      </w:r>
      <w:r w:rsidRPr="00541EC7">
        <w:rPr>
          <w:rFonts w:ascii="Times New Roman" w:hAnsi="Times New Roman" w:cs="Times New Roman"/>
          <w:sz w:val="24"/>
          <w:szCs w:val="24"/>
        </w:rPr>
        <w:t xml:space="preserve">и в таблице со средними значениями </w:t>
      </w:r>
      <w:r w:rsidRPr="00A45BB1">
        <w:rPr>
          <w:rFonts w:ascii="Times New Roman" w:hAnsi="Times New Roman" w:cs="Times New Roman"/>
          <w:i/>
          <w:sz w:val="24"/>
          <w:szCs w:val="24"/>
        </w:rPr>
        <w:t>(</w:t>
      </w:r>
      <w:r w:rsidR="00A45BB1" w:rsidRPr="00A45BB1">
        <w:rPr>
          <w:rFonts w:ascii="Times New Roman" w:hAnsi="Times New Roman" w:cs="Times New Roman"/>
          <w:i/>
          <w:sz w:val="24"/>
          <w:szCs w:val="24"/>
        </w:rPr>
        <w:t>табл.</w:t>
      </w:r>
      <w:r w:rsidRPr="00A45BB1">
        <w:rPr>
          <w:rFonts w:ascii="Times New Roman" w:hAnsi="Times New Roman" w:cs="Times New Roman"/>
          <w:i/>
          <w:sz w:val="24"/>
          <w:szCs w:val="24"/>
        </w:rPr>
        <w:t xml:space="preserve"> 6). 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516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2762" cy="2083983"/>
            <wp:effectExtent l="19050" t="0" r="0" b="0"/>
            <wp:docPr id="1061564933" name="Рисунок 1061564933" descr="Изображение выглядит как снимок экрана, текст, прямоугольный,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64933" name="Рисунок 1061564933" descr="Изображение выглядит как снимок экрана, текст, прямоугольный, Прямоугольник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3405" cy="209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54" w:rsidRPr="00541EC7" w:rsidRDefault="004C0F24" w:rsidP="004C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Тепловая карта распределения оценок</w:t>
      </w:r>
      <w:r w:rsidR="002F19D2">
        <w:rPr>
          <w:rFonts w:ascii="Times New Roman" w:hAnsi="Times New Roman" w:cs="Times New Roman"/>
          <w:sz w:val="24"/>
          <w:szCs w:val="24"/>
        </w:rPr>
        <w:t xml:space="preserve"> (составлено автором)</w:t>
      </w:r>
    </w:p>
    <w:p w:rsidR="00CA69B8" w:rsidRPr="002F19D2" w:rsidRDefault="002E3FD4" w:rsidP="00CA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="00CA69B8">
        <w:rPr>
          <w:rFonts w:ascii="Times New Roman" w:hAnsi="Times New Roman" w:cs="Times New Roman"/>
          <w:sz w:val="24"/>
          <w:szCs w:val="24"/>
        </w:rPr>
        <w:t>.</w:t>
      </w:r>
      <w:r w:rsidRPr="007E0B7B">
        <w:rPr>
          <w:rFonts w:ascii="Times New Roman" w:hAnsi="Times New Roman" w:cs="Times New Roman"/>
          <w:sz w:val="24"/>
          <w:szCs w:val="24"/>
        </w:rPr>
        <w:t xml:space="preserve"> 1. </w:t>
      </w:r>
      <w:r w:rsidRPr="002E3FD4">
        <w:rPr>
          <w:rFonts w:ascii="Times New Roman" w:hAnsi="Times New Roman" w:cs="Times New Roman"/>
          <w:sz w:val="24"/>
          <w:szCs w:val="24"/>
          <w:lang w:val="en-US"/>
        </w:rPr>
        <w:t>Heat map of the distribution of estimates</w:t>
      </w:r>
      <w:r w:rsidR="002F19D2" w:rsidRPr="002F19D2">
        <w:rPr>
          <w:rFonts w:ascii="Times New Roman" w:hAnsi="Times New Roman" w:cs="Times New Roman"/>
          <w:sz w:val="24"/>
          <w:szCs w:val="24"/>
          <w:lang w:val="en-US"/>
        </w:rPr>
        <w:t xml:space="preserve"> (compiled by author)</w:t>
      </w:r>
    </w:p>
    <w:p w:rsidR="00CA69B8" w:rsidRPr="007E0B7B" w:rsidRDefault="00CA69B8" w:rsidP="00CA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Следующий этап исследования – построение </w:t>
      </w:r>
      <w:r w:rsidR="005A44D9" w:rsidRPr="00541EC7">
        <w:rPr>
          <w:rFonts w:ascii="Times New Roman" w:hAnsi="Times New Roman" w:cs="Times New Roman"/>
          <w:sz w:val="24"/>
          <w:szCs w:val="24"/>
        </w:rPr>
        <w:t xml:space="preserve">линейной </w:t>
      </w:r>
      <w:r w:rsidRPr="00541EC7">
        <w:rPr>
          <w:rFonts w:ascii="Times New Roman" w:hAnsi="Times New Roman" w:cs="Times New Roman"/>
          <w:sz w:val="24"/>
          <w:szCs w:val="24"/>
        </w:rPr>
        <w:t>модели</w:t>
      </w:r>
      <w:r w:rsidR="005A44D9" w:rsidRPr="00541EC7">
        <w:rPr>
          <w:rFonts w:ascii="Times New Roman" w:hAnsi="Times New Roman" w:cs="Times New Roman"/>
          <w:sz w:val="24"/>
          <w:szCs w:val="24"/>
        </w:rPr>
        <w:t>, описывающий связь между склонностью приобрести напиток и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5A44D9" w:rsidRPr="00541EC7">
        <w:rPr>
          <w:rFonts w:ascii="Times New Roman" w:hAnsi="Times New Roman" w:cs="Times New Roman"/>
          <w:sz w:val="24"/>
          <w:szCs w:val="24"/>
        </w:rPr>
        <w:t>описанными выше факторами</w:t>
      </w:r>
      <w:r w:rsidRPr="00541EC7">
        <w:rPr>
          <w:rFonts w:ascii="Times New Roman" w:hAnsi="Times New Roman" w:cs="Times New Roman"/>
          <w:sz w:val="24"/>
          <w:szCs w:val="24"/>
        </w:rPr>
        <w:t xml:space="preserve"> («Вкус», «</w:t>
      </w:r>
      <w:r w:rsidR="009E1CC9" w:rsidRPr="00541EC7">
        <w:rPr>
          <w:rFonts w:ascii="Times New Roman" w:hAnsi="Times New Roman" w:cs="Times New Roman"/>
          <w:sz w:val="24"/>
          <w:szCs w:val="24"/>
        </w:rPr>
        <w:t xml:space="preserve">Польза </w:t>
      </w:r>
      <w:r w:rsidR="009E1CC9" w:rsidRPr="00541EC7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541EC7">
        <w:rPr>
          <w:rFonts w:ascii="Times New Roman" w:hAnsi="Times New Roman" w:cs="Times New Roman"/>
          <w:sz w:val="24"/>
          <w:szCs w:val="24"/>
        </w:rPr>
        <w:t xml:space="preserve"> здоровья», «Известность», «Привлекательность упаковки», «Доверие к производителю», «Глобальность».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Обоснование выбора интенции приобрести напиток в качестве зависимой переменной приводилось ранее, но очевидным аргументом в пользу релевантности использования такового подхода являются бизнес-цели компании. «Мултон Партнерс» </w:t>
      </w:r>
      <w:r w:rsidR="009E1CC9" w:rsidRPr="00541EC7">
        <w:rPr>
          <w:rFonts w:ascii="Times New Roman" w:hAnsi="Times New Roman" w:cs="Times New Roman"/>
          <w:sz w:val="24"/>
          <w:szCs w:val="24"/>
        </w:rPr>
        <w:t xml:space="preserve">– </w:t>
      </w:r>
      <w:r w:rsidRPr="00541EC7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9E1CC9" w:rsidRPr="00541EC7">
        <w:rPr>
          <w:rFonts w:ascii="Times New Roman" w:hAnsi="Times New Roman" w:cs="Times New Roman"/>
          <w:sz w:val="24"/>
          <w:szCs w:val="24"/>
        </w:rPr>
        <w:t>компании</w:t>
      </w:r>
      <w:r w:rsidRPr="00541EC7">
        <w:rPr>
          <w:rFonts w:ascii="Times New Roman" w:hAnsi="Times New Roman" w:cs="Times New Roman"/>
          <w:sz w:val="24"/>
          <w:szCs w:val="24"/>
        </w:rPr>
        <w:t xml:space="preserve">, </w:t>
      </w:r>
      <w:r w:rsidR="009E1CC9" w:rsidRPr="00541EC7">
        <w:rPr>
          <w:rFonts w:ascii="Times New Roman" w:hAnsi="Times New Roman" w:cs="Times New Roman"/>
          <w:sz w:val="24"/>
          <w:szCs w:val="24"/>
        </w:rPr>
        <w:t>нацеленной на</w:t>
      </w:r>
      <w:r w:rsidRPr="00541EC7">
        <w:rPr>
          <w:rFonts w:ascii="Times New Roman" w:hAnsi="Times New Roman" w:cs="Times New Roman"/>
          <w:sz w:val="24"/>
          <w:szCs w:val="24"/>
        </w:rPr>
        <w:t xml:space="preserve"> получение прибыли. При этом важнейшим действием потребителя является непосредственная покупка товара, а как было ранее пояснено, интенция в большей степени детерминирует само действие</w:t>
      </w:r>
      <w:r w:rsidR="009E1CC9" w:rsidRPr="00541EC7">
        <w:rPr>
          <w:rFonts w:ascii="Times New Roman" w:hAnsi="Times New Roman" w:cs="Times New Roman"/>
          <w:sz w:val="24"/>
          <w:szCs w:val="24"/>
        </w:rPr>
        <w:t xml:space="preserve">, причём компания по понятным причинам сегодня не продвигает свой бренд в качестве зонтичного. </w:t>
      </w:r>
      <w:r w:rsidRPr="00541EC7">
        <w:rPr>
          <w:rFonts w:ascii="Times New Roman" w:hAnsi="Times New Roman" w:cs="Times New Roman"/>
          <w:sz w:val="24"/>
          <w:szCs w:val="24"/>
        </w:rPr>
        <w:t>Таким образом, выбор зависимой переменной обусловлен как практическими, так и академическими аргументами.</w:t>
      </w:r>
    </w:p>
    <w:p w:rsidR="00300954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F32402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F32402" w:rsidRPr="00541EC7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Таким образом, итоговая модель содержит в себе все найденные в ходе качественного исследования факторы. Безусловно, модель имеет ряд ограничений, если пытаться экстраполировать ее результаты на все напитки категории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NARTD</w:t>
      </w:r>
      <w:r w:rsidRPr="00541EC7">
        <w:rPr>
          <w:rFonts w:ascii="Times New Roman" w:hAnsi="Times New Roman" w:cs="Times New Roman"/>
          <w:sz w:val="24"/>
          <w:szCs w:val="24"/>
        </w:rPr>
        <w:t xml:space="preserve"> (безалкогольные напитки). </w:t>
      </w:r>
      <w:r w:rsidR="00267447" w:rsidRPr="00541EC7">
        <w:rPr>
          <w:rFonts w:ascii="Times New Roman" w:hAnsi="Times New Roman" w:cs="Times New Roman"/>
          <w:sz w:val="24"/>
          <w:szCs w:val="24"/>
        </w:rPr>
        <w:t>М</w:t>
      </w:r>
      <w:r w:rsidRPr="00541EC7">
        <w:rPr>
          <w:rFonts w:ascii="Times New Roman" w:hAnsi="Times New Roman" w:cs="Times New Roman"/>
          <w:sz w:val="24"/>
          <w:szCs w:val="24"/>
        </w:rPr>
        <w:t xml:space="preserve">одель </w:t>
      </w:r>
      <w:r w:rsidR="00267447" w:rsidRPr="00541EC7">
        <w:rPr>
          <w:rFonts w:ascii="Times New Roman" w:hAnsi="Times New Roman" w:cs="Times New Roman"/>
          <w:sz w:val="24"/>
          <w:szCs w:val="24"/>
        </w:rPr>
        <w:t>скорее применима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обозначенной нами цели </w:t>
      </w:r>
      <w:r w:rsidRPr="00541EC7">
        <w:rPr>
          <w:rFonts w:ascii="Times New Roman" w:hAnsi="Times New Roman" w:cs="Times New Roman"/>
          <w:sz w:val="24"/>
          <w:szCs w:val="24"/>
        </w:rPr>
        <w:t>исследования –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541EC7">
        <w:rPr>
          <w:rFonts w:ascii="Times New Roman" w:hAnsi="Times New Roman" w:cs="Times New Roman"/>
          <w:sz w:val="24"/>
          <w:szCs w:val="24"/>
        </w:rPr>
        <w:t>потенциальной состоятельности нового продукта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 для компании «Мултон Партнерс»</w:t>
      </w:r>
      <w:r w:rsidRPr="00541EC7">
        <w:rPr>
          <w:rFonts w:ascii="Times New Roman" w:hAnsi="Times New Roman" w:cs="Times New Roman"/>
          <w:sz w:val="24"/>
          <w:szCs w:val="24"/>
        </w:rPr>
        <w:t xml:space="preserve">. 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541EC7">
        <w:rPr>
          <w:rFonts w:ascii="Times New Roman" w:hAnsi="Times New Roman" w:cs="Times New Roman"/>
          <w:sz w:val="24"/>
          <w:szCs w:val="24"/>
        </w:rPr>
        <w:t xml:space="preserve">уравнение модели </w:t>
      </w:r>
      <w:r w:rsidR="00267447" w:rsidRPr="00541EC7">
        <w:rPr>
          <w:rFonts w:ascii="Times New Roman" w:hAnsi="Times New Roman" w:cs="Times New Roman"/>
          <w:sz w:val="24"/>
          <w:szCs w:val="24"/>
        </w:rPr>
        <w:t>2 имеет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267447" w:rsidRPr="00541EC7">
        <w:rPr>
          <w:rFonts w:ascii="Times New Roman" w:hAnsi="Times New Roman" w:cs="Times New Roman"/>
          <w:sz w:val="24"/>
          <w:szCs w:val="24"/>
        </w:rPr>
        <w:t>следующий вид</w:t>
      </w:r>
      <w:r w:rsidR="00267447" w:rsidRPr="00541E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D1177" w:rsidRPr="00541EC7" w:rsidRDefault="008D1177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556"/>
      </w:tblGrid>
      <w:tr w:rsidR="008D1177" w:rsidRPr="00541EC7" w:rsidTr="00B1405B">
        <w:tc>
          <w:tcPr>
            <w:tcW w:w="9072" w:type="dxa"/>
            <w:vAlign w:val="center"/>
          </w:tcPr>
          <w:p w:rsidR="008D1177" w:rsidRPr="00541EC7" w:rsidRDefault="00D30DE0" w:rsidP="00C54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ln(Intention)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=-0,7912+Taste*0,1586+Healthy*0,0557+Popularity*0,0359+Design*0,0755+Trust*0,0504+Globality*(-0,2283)</m:t>
                    </m:r>
                  </m:e>
                </m:func>
              </m:oMath>
            </m:oMathPara>
          </w:p>
        </w:tc>
        <w:tc>
          <w:tcPr>
            <w:tcW w:w="556" w:type="dxa"/>
            <w:vAlign w:val="center"/>
          </w:tcPr>
          <w:p w:rsidR="008D1177" w:rsidRPr="00541EC7" w:rsidRDefault="008D1177" w:rsidP="00C54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300954" w:rsidRPr="00541EC7" w:rsidRDefault="00300954" w:rsidP="00C5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33B" w:rsidRDefault="0051633B" w:rsidP="00516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32">
        <w:rPr>
          <w:rFonts w:ascii="Times New Roman" w:hAnsi="Times New Roman" w:cs="Times New Roman"/>
          <w:b/>
          <w:sz w:val="24"/>
          <w:szCs w:val="24"/>
        </w:rPr>
        <w:t>Обсуждение (Discussion)</w:t>
      </w:r>
    </w:p>
    <w:p w:rsidR="0051633B" w:rsidRPr="00E43632" w:rsidRDefault="0051633B" w:rsidP="00516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Для принятия или </w:t>
      </w:r>
      <w:r w:rsidR="00267447" w:rsidRPr="00541EC7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Pr="00541EC7">
        <w:rPr>
          <w:rFonts w:ascii="Times New Roman" w:hAnsi="Times New Roman" w:cs="Times New Roman"/>
          <w:sz w:val="24"/>
          <w:szCs w:val="24"/>
        </w:rPr>
        <w:t xml:space="preserve">гипотезы </w:t>
      </w:r>
      <w:r w:rsidR="00DF3BCB" w:rsidRPr="00541EC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F3BCB" w:rsidRPr="00541EC7">
        <w:rPr>
          <w:rFonts w:ascii="Times New Roman" w:hAnsi="Times New Roman" w:cs="Times New Roman"/>
          <w:sz w:val="24"/>
          <w:szCs w:val="24"/>
        </w:rPr>
        <w:t>7</w:t>
      </w:r>
      <w:r w:rsidR="008D1177" w:rsidRPr="00541EC7">
        <w:rPr>
          <w:rFonts w:ascii="Times New Roman" w:hAnsi="Times New Roman" w:cs="Times New Roman"/>
          <w:sz w:val="24"/>
          <w:szCs w:val="24"/>
        </w:rPr>
        <w:t xml:space="preserve"> о кардинально разном восприятии глобальных и локальных брендов</w:t>
      </w:r>
      <w:r w:rsidRPr="00541EC7">
        <w:rPr>
          <w:rFonts w:ascii="Times New Roman" w:hAnsi="Times New Roman" w:cs="Times New Roman"/>
          <w:sz w:val="24"/>
          <w:szCs w:val="24"/>
        </w:rPr>
        <w:t xml:space="preserve"> требуется имплементировать анализ для поиска скрытых</w:t>
      </w:r>
      <w:r w:rsidR="008D1177" w:rsidRPr="00541EC7">
        <w:rPr>
          <w:rFonts w:ascii="Times New Roman" w:hAnsi="Times New Roman" w:cs="Times New Roman"/>
          <w:sz w:val="24"/>
          <w:szCs w:val="24"/>
        </w:rPr>
        <w:t>, обобщенных</w:t>
      </w:r>
      <w:r w:rsidRPr="00541EC7">
        <w:rPr>
          <w:rFonts w:ascii="Times New Roman" w:hAnsi="Times New Roman" w:cs="Times New Roman"/>
          <w:sz w:val="24"/>
          <w:szCs w:val="24"/>
        </w:rPr>
        <w:t xml:space="preserve"> компонентов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59279C" w:rsidRPr="00541EC7">
        <w:rPr>
          <w:rFonts w:ascii="Times New Roman" w:hAnsi="Times New Roman" w:cs="Times New Roman"/>
          <w:sz w:val="24"/>
          <w:szCs w:val="24"/>
        </w:rPr>
        <w:t>изучить сложившийся имидж каждого бренда компании, содержательно разобраться в том, как потребители его воспринимают, нами была построена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59279C" w:rsidRPr="00541EC7">
        <w:rPr>
          <w:rFonts w:ascii="Times New Roman" w:hAnsi="Times New Roman" w:cs="Times New Roman"/>
          <w:sz w:val="24"/>
          <w:szCs w:val="24"/>
        </w:rPr>
        <w:t xml:space="preserve">простая и </w:t>
      </w:r>
      <w:r w:rsidR="00DF3BCB" w:rsidRPr="00541EC7">
        <w:rPr>
          <w:rFonts w:ascii="Times New Roman" w:hAnsi="Times New Roman" w:cs="Times New Roman"/>
          <w:sz w:val="24"/>
          <w:szCs w:val="24"/>
        </w:rPr>
        <w:t>наглядн</w:t>
      </w:r>
      <w:r w:rsidR="0059279C" w:rsidRPr="00541EC7">
        <w:rPr>
          <w:rFonts w:ascii="Times New Roman" w:hAnsi="Times New Roman" w:cs="Times New Roman"/>
          <w:sz w:val="24"/>
          <w:szCs w:val="24"/>
        </w:rPr>
        <w:t>ая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59279C" w:rsidRPr="00541EC7">
        <w:rPr>
          <w:rFonts w:ascii="Times New Roman" w:hAnsi="Times New Roman" w:cs="Times New Roman"/>
          <w:sz w:val="24"/>
          <w:szCs w:val="24"/>
        </w:rPr>
        <w:t xml:space="preserve">двумерная </w:t>
      </w:r>
      <w:r w:rsidR="00DF3BCB" w:rsidRPr="00541EC7">
        <w:rPr>
          <w:rFonts w:ascii="Times New Roman" w:hAnsi="Times New Roman" w:cs="Times New Roman"/>
          <w:sz w:val="24"/>
          <w:szCs w:val="24"/>
        </w:rPr>
        <w:t>карт</w:t>
      </w:r>
      <w:r w:rsidR="0059279C" w:rsidRPr="00541EC7">
        <w:rPr>
          <w:rFonts w:ascii="Times New Roman" w:hAnsi="Times New Roman" w:cs="Times New Roman"/>
          <w:sz w:val="24"/>
          <w:szCs w:val="24"/>
        </w:rPr>
        <w:t>а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 восприятия. Для этого шесть ранее выявленных нами факторов</w:t>
      </w:r>
      <w:r w:rsidR="0059279C" w:rsidRPr="00541EC7">
        <w:rPr>
          <w:rFonts w:ascii="Times New Roman" w:hAnsi="Times New Roman" w:cs="Times New Roman"/>
          <w:sz w:val="24"/>
          <w:szCs w:val="24"/>
        </w:rPr>
        <w:t>, влияющих на склонность к приобретению напитка,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9279C" w:rsidRPr="00541EC7">
        <w:rPr>
          <w:rFonts w:ascii="Times New Roman" w:hAnsi="Times New Roman" w:cs="Times New Roman"/>
          <w:sz w:val="24"/>
          <w:szCs w:val="24"/>
        </w:rPr>
        <w:t xml:space="preserve">методом главных компонент </w:t>
      </w:r>
      <w:r w:rsidR="00FE70FB" w:rsidRPr="00541EC7">
        <w:rPr>
          <w:rFonts w:ascii="Times New Roman" w:hAnsi="Times New Roman" w:cs="Times New Roman"/>
          <w:sz w:val="24"/>
          <w:szCs w:val="24"/>
        </w:rPr>
        <w:t>(</w:t>
      </w:r>
      <w:r w:rsidR="00FE70FB" w:rsidRPr="00541EC7">
        <w:rPr>
          <w:rFonts w:ascii="Times New Roman" w:hAnsi="Times New Roman" w:cs="Times New Roman"/>
          <w:sz w:val="24"/>
          <w:szCs w:val="24"/>
          <w:lang w:val="en-US"/>
        </w:rPr>
        <w:t>PCA</w:t>
      </w:r>
      <w:r w:rsidR="00FE70FB" w:rsidRPr="00541EC7">
        <w:rPr>
          <w:rFonts w:ascii="Times New Roman" w:hAnsi="Times New Roman" w:cs="Times New Roman"/>
          <w:sz w:val="24"/>
          <w:szCs w:val="24"/>
        </w:rPr>
        <w:t xml:space="preserve">) </w:t>
      </w:r>
      <w:r w:rsidR="00DF3BCB" w:rsidRPr="00541EC7">
        <w:rPr>
          <w:rFonts w:ascii="Times New Roman" w:hAnsi="Times New Roman" w:cs="Times New Roman"/>
          <w:sz w:val="24"/>
          <w:szCs w:val="24"/>
        </w:rPr>
        <w:t>разбиты на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DF3BCB" w:rsidRPr="00541EC7">
        <w:rPr>
          <w:rFonts w:ascii="Times New Roman" w:hAnsi="Times New Roman" w:cs="Times New Roman"/>
          <w:sz w:val="24"/>
          <w:szCs w:val="24"/>
        </w:rPr>
        <w:t xml:space="preserve">две </w:t>
      </w:r>
      <w:r w:rsidR="0059279C" w:rsidRPr="00541EC7">
        <w:rPr>
          <w:rFonts w:ascii="Times New Roman" w:hAnsi="Times New Roman" w:cs="Times New Roman"/>
          <w:sz w:val="24"/>
          <w:szCs w:val="24"/>
        </w:rPr>
        <w:t>группы сравнительно сильно коррелирующих между собой факторов</w:t>
      </w:r>
      <w:r w:rsidR="00FE70FB" w:rsidRPr="00541EC7">
        <w:rPr>
          <w:rFonts w:ascii="Times New Roman" w:hAnsi="Times New Roman" w:cs="Times New Roman"/>
          <w:sz w:val="24"/>
          <w:szCs w:val="24"/>
        </w:rPr>
        <w:t>.</w:t>
      </w:r>
      <w:r w:rsidR="0059279C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FE70FB" w:rsidRPr="00541EC7">
        <w:rPr>
          <w:rFonts w:ascii="Times New Roman" w:hAnsi="Times New Roman" w:cs="Times New Roman"/>
          <w:sz w:val="24"/>
          <w:szCs w:val="24"/>
        </w:rPr>
        <w:t xml:space="preserve">В каждой группе </w:t>
      </w:r>
      <w:r w:rsidR="0059279C" w:rsidRPr="00541EC7">
        <w:rPr>
          <w:rFonts w:ascii="Times New Roman" w:hAnsi="Times New Roman" w:cs="Times New Roman"/>
          <w:sz w:val="24"/>
          <w:szCs w:val="24"/>
        </w:rPr>
        <w:t xml:space="preserve">был построен </w:t>
      </w:r>
      <w:r w:rsidR="00FE70FB" w:rsidRPr="00541EC7">
        <w:rPr>
          <w:rFonts w:ascii="Times New Roman" w:hAnsi="Times New Roman" w:cs="Times New Roman"/>
          <w:sz w:val="24"/>
          <w:szCs w:val="24"/>
        </w:rPr>
        <w:t>свой обобщённый фактор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Pr="00541EC7" w:rsidRDefault="00B1405B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Для предварительной проверки возможности применения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PCA</w:t>
      </w:r>
      <w:r w:rsidRPr="00541EC7">
        <w:rPr>
          <w:rFonts w:ascii="Times New Roman" w:hAnsi="Times New Roman" w:cs="Times New Roman"/>
          <w:sz w:val="24"/>
          <w:szCs w:val="24"/>
        </w:rPr>
        <w:t>-анализа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FE70FB" w:rsidRPr="00541EC7">
        <w:rPr>
          <w:rFonts w:ascii="Times New Roman" w:hAnsi="Times New Roman" w:cs="Times New Roman"/>
          <w:sz w:val="24"/>
          <w:szCs w:val="24"/>
        </w:rPr>
        <w:t>мы попытались переупорядочить шесть исходных факторов так, чтобы матрица корреляции приобрела чёткую блочную структуру со сравнительно бо́льшими коэффициентами корреляции между факторами каждого блока и сравнительно меньшими – разных блоков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. </w:t>
      </w:r>
      <w:r w:rsidR="00DF5374" w:rsidRPr="00541EC7">
        <w:rPr>
          <w:rFonts w:ascii="Times New Roman" w:hAnsi="Times New Roman" w:cs="Times New Roman"/>
          <w:sz w:val="24"/>
          <w:szCs w:val="24"/>
        </w:rPr>
        <w:t xml:space="preserve">Исходную матрицу корреляции (слева) и матрицу после переупорядочения факторов (справа) иллюстрирует </w:t>
      </w:r>
      <w:r w:rsidR="00DF5374" w:rsidRPr="00BB0D08">
        <w:rPr>
          <w:rFonts w:ascii="Times New Roman" w:hAnsi="Times New Roman" w:cs="Times New Roman"/>
          <w:i/>
          <w:sz w:val="24"/>
          <w:szCs w:val="24"/>
        </w:rPr>
        <w:t>рисунок 2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. </w:t>
      </w:r>
      <w:r w:rsidR="00DF5374" w:rsidRPr="00541EC7">
        <w:rPr>
          <w:rFonts w:ascii="Times New Roman" w:hAnsi="Times New Roman" w:cs="Times New Roman"/>
          <w:sz w:val="24"/>
          <w:szCs w:val="24"/>
        </w:rPr>
        <w:t>Чем сильнее окраска квадрата смещена в сторону красного цвета, тем выше</w:t>
      </w:r>
      <w:r w:rsidR="005E04EF" w:rsidRPr="00541EC7">
        <w:rPr>
          <w:rFonts w:ascii="Times New Roman" w:hAnsi="Times New Roman" w:cs="Times New Roman"/>
          <w:sz w:val="24"/>
          <w:szCs w:val="24"/>
        </w:rPr>
        <w:t xml:space="preserve"> модуль положительного коэффициента корреляции, а чем сильнее она смещена в сторону синего цвета – тем выше модуль отрицательного коэффициента корреляции.</w:t>
      </w: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3707" cy="2004291"/>
            <wp:effectExtent l="0" t="0" r="0" b="2540"/>
            <wp:docPr id="234848138" name="Рисунок 234848138" descr="Изображение выглядит как снимок экрана, прямоугольный, диаграмма,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48138" name="Рисунок 234848138" descr="Изображение выглядит как снимок экрана, прямоугольный, диаграмма, Прямоугольник&#10;&#10;Автоматически созданное описание"/>
                    <pic:cNvPicPr/>
                  </pic:nvPicPr>
                  <pic:blipFill rotWithShape="1">
                    <a:blip r:embed="rId13" cstate="print"/>
                    <a:srcRect t="3875" b="2655"/>
                    <a:stretch/>
                  </pic:blipFill>
                  <pic:spPr bwMode="auto">
                    <a:xfrm>
                      <a:off x="0" y="0"/>
                      <a:ext cx="5652277" cy="201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954" w:rsidRDefault="00BB0D08" w:rsidP="00BB0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DF5374" w:rsidRPr="00541E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Упорядоченная корреляционная матрица</w:t>
      </w:r>
      <w:r w:rsidR="002F19D2">
        <w:rPr>
          <w:rFonts w:ascii="Times New Roman" w:hAnsi="Times New Roman" w:cs="Times New Roman"/>
          <w:sz w:val="24"/>
          <w:szCs w:val="24"/>
        </w:rPr>
        <w:t xml:space="preserve"> </w:t>
      </w:r>
      <w:r w:rsidR="002F19D2" w:rsidRPr="002F19D2">
        <w:rPr>
          <w:rFonts w:ascii="Times New Roman" w:hAnsi="Times New Roman" w:cs="Times New Roman"/>
          <w:sz w:val="24"/>
          <w:szCs w:val="24"/>
        </w:rPr>
        <w:t>(</w:t>
      </w:r>
      <w:r w:rsidR="002F19D2">
        <w:rPr>
          <w:rFonts w:ascii="Times New Roman" w:hAnsi="Times New Roman" w:cs="Times New Roman"/>
          <w:sz w:val="24"/>
          <w:szCs w:val="24"/>
        </w:rPr>
        <w:t>составлено</w:t>
      </w:r>
      <w:r w:rsidR="00F521C6">
        <w:rPr>
          <w:rFonts w:ascii="Times New Roman" w:hAnsi="Times New Roman" w:cs="Times New Roman"/>
          <w:sz w:val="24"/>
          <w:szCs w:val="24"/>
        </w:rPr>
        <w:t xml:space="preserve"> автором</w:t>
      </w:r>
      <w:r w:rsidR="002F19D2" w:rsidRPr="002F19D2">
        <w:rPr>
          <w:rFonts w:ascii="Times New Roman" w:hAnsi="Times New Roman" w:cs="Times New Roman"/>
          <w:sz w:val="24"/>
          <w:szCs w:val="24"/>
        </w:rPr>
        <w:t>)</w:t>
      </w:r>
    </w:p>
    <w:p w:rsidR="00BC7978" w:rsidRPr="002F19D2" w:rsidRDefault="00BC7978" w:rsidP="00BB0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Pr="00BC7978">
        <w:rPr>
          <w:rFonts w:ascii="Times New Roman" w:hAnsi="Times New Roman" w:cs="Times New Roman"/>
          <w:sz w:val="24"/>
          <w:szCs w:val="24"/>
        </w:rPr>
        <w:t xml:space="preserve"> 2. </w:t>
      </w:r>
      <w:r w:rsidRPr="002F19D2">
        <w:rPr>
          <w:rFonts w:ascii="Times New Roman" w:hAnsi="Times New Roman" w:cs="Times New Roman"/>
          <w:sz w:val="24"/>
          <w:szCs w:val="24"/>
          <w:lang w:val="en-US"/>
        </w:rPr>
        <w:t>Ordered correlation matrix</w:t>
      </w:r>
      <w:r w:rsidR="002F19D2" w:rsidRPr="002F19D2">
        <w:rPr>
          <w:rFonts w:ascii="Times New Roman" w:hAnsi="Times New Roman" w:cs="Times New Roman"/>
          <w:sz w:val="24"/>
          <w:szCs w:val="24"/>
          <w:lang w:val="en-US"/>
        </w:rPr>
        <w:t xml:space="preserve"> (compiled by author)</w:t>
      </w:r>
    </w:p>
    <w:p w:rsidR="00300954" w:rsidRPr="002F19D2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>Исходя из полученной упорядоченной матрицы корреляций, замет</w:t>
      </w:r>
      <w:r w:rsidR="005E04EF" w:rsidRPr="00541EC7">
        <w:rPr>
          <w:rFonts w:ascii="Times New Roman" w:hAnsi="Times New Roman" w:cs="Times New Roman"/>
          <w:sz w:val="24"/>
          <w:szCs w:val="24"/>
        </w:rPr>
        <w:t>ны</w:t>
      </w:r>
      <w:r w:rsidRPr="00541EC7">
        <w:rPr>
          <w:rFonts w:ascii="Times New Roman" w:hAnsi="Times New Roman" w:cs="Times New Roman"/>
          <w:sz w:val="24"/>
          <w:szCs w:val="24"/>
        </w:rPr>
        <w:t xml:space="preserve"> две группы </w:t>
      </w:r>
      <w:r w:rsidR="005E04EF" w:rsidRPr="00541EC7">
        <w:rPr>
          <w:rFonts w:ascii="Times New Roman" w:hAnsi="Times New Roman" w:cs="Times New Roman"/>
          <w:sz w:val="24"/>
          <w:szCs w:val="24"/>
        </w:rPr>
        <w:t xml:space="preserve">относительно сильно коррелирующих между собой </w:t>
      </w:r>
      <w:r w:rsidRPr="00541EC7">
        <w:rPr>
          <w:rFonts w:ascii="Times New Roman" w:hAnsi="Times New Roman" w:cs="Times New Roman"/>
          <w:sz w:val="24"/>
          <w:szCs w:val="24"/>
        </w:rPr>
        <w:t xml:space="preserve">факторов. </w:t>
      </w:r>
      <w:r w:rsidR="005E04EF" w:rsidRPr="00541EC7">
        <w:rPr>
          <w:rFonts w:ascii="Times New Roman" w:hAnsi="Times New Roman" w:cs="Times New Roman"/>
          <w:sz w:val="24"/>
          <w:szCs w:val="24"/>
        </w:rPr>
        <w:t xml:space="preserve">Первую образуют факторы «Глобальность», «Известность» и «Дизайн упаковки», а вторую – </w:t>
      </w:r>
      <w:r w:rsidR="00FA381F" w:rsidRPr="00541EC7">
        <w:rPr>
          <w:rFonts w:ascii="Times New Roman" w:hAnsi="Times New Roman" w:cs="Times New Roman"/>
          <w:sz w:val="24"/>
          <w:szCs w:val="24"/>
        </w:rPr>
        <w:t xml:space="preserve">факторы </w:t>
      </w:r>
      <w:r w:rsidRPr="00541EC7">
        <w:rPr>
          <w:rFonts w:ascii="Times New Roman" w:hAnsi="Times New Roman" w:cs="Times New Roman"/>
          <w:sz w:val="24"/>
          <w:szCs w:val="24"/>
        </w:rPr>
        <w:t>«Вкус», «</w:t>
      </w:r>
      <w:r w:rsidR="005E04EF" w:rsidRPr="00541EC7">
        <w:rPr>
          <w:rFonts w:ascii="Times New Roman" w:hAnsi="Times New Roman" w:cs="Times New Roman"/>
          <w:sz w:val="24"/>
          <w:szCs w:val="24"/>
        </w:rPr>
        <w:t xml:space="preserve">Польза </w:t>
      </w:r>
      <w:r w:rsidRPr="00541EC7">
        <w:rPr>
          <w:rFonts w:ascii="Times New Roman" w:hAnsi="Times New Roman" w:cs="Times New Roman"/>
          <w:sz w:val="24"/>
          <w:szCs w:val="24"/>
        </w:rPr>
        <w:t xml:space="preserve">для здоровья» и «Доверие». </w:t>
      </w:r>
      <w:r w:rsidR="00FA381F" w:rsidRPr="00541EC7">
        <w:rPr>
          <w:rFonts w:ascii="Times New Roman" w:hAnsi="Times New Roman" w:cs="Times New Roman"/>
          <w:sz w:val="24"/>
          <w:szCs w:val="24"/>
        </w:rPr>
        <w:t xml:space="preserve">А поскольку факторы каждой группы коррелируют между собой положительно, то есть действуют в одном направлении, естественно </w:t>
      </w:r>
      <w:r w:rsidRPr="00541EC7">
        <w:rPr>
          <w:rFonts w:ascii="Times New Roman" w:hAnsi="Times New Roman" w:cs="Times New Roman"/>
          <w:sz w:val="24"/>
          <w:szCs w:val="24"/>
        </w:rPr>
        <w:t xml:space="preserve">предположить, что </w:t>
      </w:r>
      <w:r w:rsidR="00FA381F" w:rsidRPr="00541EC7">
        <w:rPr>
          <w:rFonts w:ascii="Times New Roman" w:hAnsi="Times New Roman" w:cs="Times New Roman"/>
          <w:sz w:val="24"/>
          <w:szCs w:val="24"/>
        </w:rPr>
        <w:t>в основе этого действия лежит одна и та же обобщённая латентная характеристика, обобщённый фактор</w:t>
      </w:r>
      <w:r w:rsidRPr="00541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954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:rsidR="00F32402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F32402" w:rsidRPr="00541EC7" w:rsidRDefault="00F32402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6D6BD7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Усреднённая карта восприятия, представленная на рис. </w:t>
      </w:r>
      <w:r w:rsidR="00A46478" w:rsidRPr="00541EC7">
        <w:rPr>
          <w:rFonts w:ascii="Times New Roman" w:hAnsi="Times New Roman" w:cs="Times New Roman"/>
          <w:sz w:val="24"/>
          <w:szCs w:val="24"/>
        </w:rPr>
        <w:t>4</w:t>
      </w:r>
      <w:r w:rsidRPr="00541EC7">
        <w:rPr>
          <w:rFonts w:ascii="Times New Roman" w:hAnsi="Times New Roman" w:cs="Times New Roman"/>
          <w:sz w:val="24"/>
          <w:szCs w:val="24"/>
        </w:rPr>
        <w:t xml:space="preserve">, ещё яснее демонстрирует, что по большому счёту все три глобальных бренда компании, а особенно – все три её локальных бренда воспринимаются потребителями практически сходным образом. Восприятие же ими глобальных и локальных брендов совершенно различно: первые </w:t>
      </w:r>
      <w:r w:rsidR="005C592E" w:rsidRPr="00541EC7">
        <w:rPr>
          <w:rFonts w:ascii="Times New Roman" w:hAnsi="Times New Roman" w:cs="Times New Roman"/>
          <w:sz w:val="24"/>
          <w:szCs w:val="24"/>
        </w:rPr>
        <w:t xml:space="preserve">кардинально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выигрывают </w:t>
      </w:r>
      <w:r w:rsidR="005C592E" w:rsidRPr="00541EC7">
        <w:rPr>
          <w:rFonts w:ascii="Times New Roman" w:hAnsi="Times New Roman" w:cs="Times New Roman"/>
          <w:sz w:val="24"/>
          <w:szCs w:val="24"/>
        </w:rPr>
        <w:t xml:space="preserve">у вторых </w:t>
      </w:r>
      <w:r w:rsidRPr="00541EC7">
        <w:rPr>
          <w:rFonts w:ascii="Times New Roman" w:hAnsi="Times New Roman" w:cs="Times New Roman"/>
          <w:sz w:val="24"/>
          <w:szCs w:val="24"/>
        </w:rPr>
        <w:t xml:space="preserve">по известности и качеству упаковки, </w:t>
      </w:r>
      <w:r w:rsidR="005C592E" w:rsidRPr="00541EC7">
        <w:rPr>
          <w:rFonts w:ascii="Times New Roman" w:hAnsi="Times New Roman" w:cs="Times New Roman"/>
          <w:sz w:val="24"/>
          <w:szCs w:val="24"/>
        </w:rPr>
        <w:t>тогда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F105A7" w:rsidRPr="00541EC7">
        <w:rPr>
          <w:rFonts w:ascii="Times New Roman" w:hAnsi="Times New Roman" w:cs="Times New Roman"/>
          <w:sz w:val="24"/>
          <w:szCs w:val="24"/>
        </w:rPr>
        <w:t xml:space="preserve">как </w:t>
      </w:r>
      <w:r w:rsidRPr="00541EC7">
        <w:rPr>
          <w:rFonts w:ascii="Times New Roman" w:hAnsi="Times New Roman" w:cs="Times New Roman"/>
          <w:sz w:val="24"/>
          <w:szCs w:val="24"/>
        </w:rPr>
        <w:t xml:space="preserve">вторые </w:t>
      </w:r>
      <w:r w:rsidR="00F105A7" w:rsidRPr="00541EC7">
        <w:rPr>
          <w:rFonts w:ascii="Times New Roman" w:hAnsi="Times New Roman" w:cs="Times New Roman"/>
          <w:sz w:val="24"/>
          <w:szCs w:val="24"/>
        </w:rPr>
        <w:t xml:space="preserve">либо </w:t>
      </w:r>
      <w:r w:rsidR="005C592E" w:rsidRPr="00541EC7">
        <w:rPr>
          <w:rFonts w:ascii="Times New Roman" w:hAnsi="Times New Roman" w:cs="Times New Roman"/>
          <w:sz w:val="24"/>
          <w:szCs w:val="24"/>
        </w:rPr>
        <w:t>не отличаются от первых</w:t>
      </w:r>
      <w:r w:rsidR="00F105A7" w:rsidRPr="00541EC7">
        <w:rPr>
          <w:rFonts w:ascii="Times New Roman" w:hAnsi="Times New Roman" w:cs="Times New Roman"/>
          <w:sz w:val="24"/>
          <w:szCs w:val="24"/>
        </w:rPr>
        <w:t>, либо лишь чуть уступают им</w:t>
      </w:r>
      <w:r w:rsidR="005C592E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по оценкам вкуса</w:t>
      </w:r>
      <w:r w:rsidR="005C592E" w:rsidRPr="00541EC7">
        <w:rPr>
          <w:rFonts w:ascii="Times New Roman" w:hAnsi="Times New Roman" w:cs="Times New Roman"/>
          <w:sz w:val="24"/>
          <w:szCs w:val="24"/>
        </w:rPr>
        <w:t xml:space="preserve"> и</w:t>
      </w:r>
      <w:r w:rsidR="00F105A7"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</w:rPr>
        <w:t>полезности</w:t>
      </w:r>
      <w:r w:rsidR="00F105A7" w:rsidRPr="00541EC7">
        <w:rPr>
          <w:rFonts w:ascii="Times New Roman" w:hAnsi="Times New Roman" w:cs="Times New Roman"/>
          <w:sz w:val="24"/>
          <w:szCs w:val="24"/>
        </w:rPr>
        <w:t xml:space="preserve"> для здоровья, а также по уровню</w:t>
      </w:r>
      <w:r w:rsidRPr="00541EC7">
        <w:rPr>
          <w:rFonts w:ascii="Times New Roman" w:hAnsi="Times New Roman" w:cs="Times New Roman"/>
          <w:sz w:val="24"/>
          <w:szCs w:val="24"/>
        </w:rPr>
        <w:t xml:space="preserve"> довери</w:t>
      </w:r>
      <w:r w:rsidR="00F105A7" w:rsidRPr="00541EC7">
        <w:rPr>
          <w:rFonts w:ascii="Times New Roman" w:hAnsi="Times New Roman" w:cs="Times New Roman"/>
          <w:sz w:val="24"/>
          <w:szCs w:val="24"/>
        </w:rPr>
        <w:t>я</w:t>
      </w:r>
      <w:r w:rsidRPr="00541EC7">
        <w:rPr>
          <w:rFonts w:ascii="Times New Roman" w:hAnsi="Times New Roman" w:cs="Times New Roman"/>
          <w:sz w:val="24"/>
          <w:szCs w:val="24"/>
        </w:rPr>
        <w:t>.</w:t>
      </w:r>
    </w:p>
    <w:p w:rsidR="00F32402" w:rsidRDefault="00F32402" w:rsidP="00C54618">
      <w:pPr>
        <w:pStyle w:val="1"/>
        <w:spacing w:before="0" w:after="0" w:line="240" w:lineRule="auto"/>
        <w:jc w:val="left"/>
      </w:pPr>
    </w:p>
    <w:p w:rsidR="00F32402" w:rsidRPr="00F32402" w:rsidRDefault="00F32402" w:rsidP="00C54618">
      <w:pPr>
        <w:pStyle w:val="1"/>
        <w:spacing w:before="0" w:after="0" w:line="240" w:lineRule="auto"/>
        <w:jc w:val="left"/>
        <w:rPr>
          <w:rFonts w:cs="Times New Roman"/>
          <w:szCs w:val="24"/>
        </w:rPr>
      </w:pPr>
      <w:r w:rsidRPr="00F32402">
        <w:rPr>
          <w:rFonts w:cs="Times New Roman"/>
          <w:szCs w:val="24"/>
        </w:rPr>
        <w:t>Заключение (Conclusion)</w:t>
      </w:r>
    </w:p>
    <w:p w:rsidR="007219C7" w:rsidRDefault="007219C7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219C7" w:rsidRDefault="007219C7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7219C7" w:rsidRDefault="007219C7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954" w:rsidRPr="00541EC7" w:rsidRDefault="00300954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В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ATL</w:t>
      </w:r>
      <w:r w:rsidRPr="00541EC7">
        <w:rPr>
          <w:rFonts w:ascii="Times New Roman" w:hAnsi="Times New Roman" w:cs="Times New Roman"/>
          <w:sz w:val="24"/>
          <w:szCs w:val="24"/>
        </w:rPr>
        <w:t xml:space="preserve">-маркетинге предлагается транслировать мягкий, семейный и домашний нарратив, чтобы он соответствовал текущему </w:t>
      </w:r>
      <w:r w:rsidR="00920EAA" w:rsidRPr="00541EC7">
        <w:rPr>
          <w:rFonts w:ascii="Times New Roman" w:hAnsi="Times New Roman" w:cs="Times New Roman"/>
          <w:sz w:val="24"/>
          <w:szCs w:val="24"/>
        </w:rPr>
        <w:t>имиджу</w:t>
      </w:r>
      <w:r w:rsidRPr="00541EC7">
        <w:rPr>
          <w:rFonts w:ascii="Times New Roman" w:hAnsi="Times New Roman" w:cs="Times New Roman"/>
          <w:sz w:val="24"/>
          <w:szCs w:val="24"/>
        </w:rPr>
        <w:t xml:space="preserve"> напитков. Также в рамках массовых кампаний важно развивать узнаваемость напитков</w:t>
      </w:r>
      <w:r w:rsidR="00920EAA" w:rsidRPr="00541EC7">
        <w:rPr>
          <w:rFonts w:ascii="Times New Roman" w:hAnsi="Times New Roman" w:cs="Times New Roman"/>
          <w:sz w:val="24"/>
          <w:szCs w:val="24"/>
        </w:rPr>
        <w:t>, закрепляя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20EAA" w:rsidRPr="00541EC7">
        <w:rPr>
          <w:rFonts w:ascii="Times New Roman" w:hAnsi="Times New Roman" w:cs="Times New Roman"/>
          <w:sz w:val="24"/>
          <w:szCs w:val="24"/>
        </w:rPr>
        <w:t xml:space="preserve">те </w:t>
      </w:r>
      <w:r w:rsidRPr="00541EC7">
        <w:rPr>
          <w:rFonts w:ascii="Times New Roman" w:hAnsi="Times New Roman" w:cs="Times New Roman"/>
          <w:sz w:val="24"/>
          <w:szCs w:val="24"/>
        </w:rPr>
        <w:t>якорны</w:t>
      </w:r>
      <w:r w:rsidR="00920EAA" w:rsidRPr="00541EC7">
        <w:rPr>
          <w:rFonts w:ascii="Times New Roman" w:hAnsi="Times New Roman" w:cs="Times New Roman"/>
          <w:sz w:val="24"/>
          <w:szCs w:val="24"/>
        </w:rPr>
        <w:t>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920EAA" w:rsidRPr="00541EC7">
        <w:rPr>
          <w:rFonts w:ascii="Times New Roman" w:hAnsi="Times New Roman" w:cs="Times New Roman"/>
          <w:sz w:val="24"/>
          <w:szCs w:val="24"/>
        </w:rPr>
        <w:t>ассоциации</w:t>
      </w:r>
      <w:r w:rsidRPr="00541EC7">
        <w:rPr>
          <w:rFonts w:ascii="Times New Roman" w:hAnsi="Times New Roman" w:cs="Times New Roman"/>
          <w:sz w:val="24"/>
          <w:szCs w:val="24"/>
        </w:rPr>
        <w:t xml:space="preserve">, которые напитки на данный момент не имеют. </w:t>
      </w:r>
      <w:r w:rsidR="00920EAA" w:rsidRPr="00541EC7">
        <w:rPr>
          <w:rFonts w:ascii="Times New Roman" w:hAnsi="Times New Roman" w:cs="Times New Roman"/>
          <w:sz w:val="24"/>
          <w:szCs w:val="24"/>
        </w:rPr>
        <w:t xml:space="preserve">Примером создания такой якорной ассоциации может служить связанное с </w:t>
      </w:r>
      <w:r w:rsidR="00920EAA"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="00920EAA" w:rsidRPr="00541EC7">
        <w:rPr>
          <w:rFonts w:ascii="Times New Roman" w:hAnsi="Times New Roman" w:cs="Times New Roman"/>
          <w:sz w:val="24"/>
          <w:szCs w:val="24"/>
        </w:rPr>
        <w:t>-</w:t>
      </w:r>
      <w:r w:rsidR="00920EAA"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="00920EAA" w:rsidRPr="00541EC7">
        <w:rPr>
          <w:rFonts w:ascii="Times New Roman" w:hAnsi="Times New Roman" w:cs="Times New Roman"/>
          <w:sz w:val="24"/>
          <w:szCs w:val="24"/>
        </w:rPr>
        <w:t xml:space="preserve"> ощущение </w:t>
      </w:r>
      <w:r w:rsidRPr="00541EC7">
        <w:rPr>
          <w:rFonts w:ascii="Times New Roman" w:hAnsi="Times New Roman" w:cs="Times New Roman"/>
          <w:sz w:val="24"/>
          <w:szCs w:val="24"/>
        </w:rPr>
        <w:t>праздника</w:t>
      </w:r>
      <w:r w:rsidR="00920EAA" w:rsidRPr="00541EC7">
        <w:rPr>
          <w:rFonts w:ascii="Times New Roman" w:hAnsi="Times New Roman" w:cs="Times New Roman"/>
          <w:sz w:val="24"/>
          <w:szCs w:val="24"/>
        </w:rPr>
        <w:t>, воплощённое в образе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920EAA" w:rsidRPr="00541EC7">
        <w:rPr>
          <w:rFonts w:ascii="Times New Roman" w:hAnsi="Times New Roman" w:cs="Times New Roman"/>
          <w:sz w:val="24"/>
          <w:szCs w:val="24"/>
        </w:rPr>
        <w:t>ого</w:t>
      </w:r>
      <w:r w:rsidRPr="00541EC7">
        <w:rPr>
          <w:rFonts w:ascii="Times New Roman" w:hAnsi="Times New Roman" w:cs="Times New Roman"/>
          <w:sz w:val="24"/>
          <w:szCs w:val="24"/>
        </w:rPr>
        <w:t xml:space="preserve"> грузовик</w:t>
      </w:r>
      <w:r w:rsidR="00920EAA" w:rsidRPr="00541EC7">
        <w:rPr>
          <w:rFonts w:ascii="Times New Roman" w:hAnsi="Times New Roman" w:cs="Times New Roman"/>
          <w:sz w:val="24"/>
          <w:szCs w:val="24"/>
        </w:rPr>
        <w:t>а</w:t>
      </w:r>
      <w:r w:rsidRPr="00541EC7">
        <w:rPr>
          <w:rFonts w:ascii="Times New Roman" w:hAnsi="Times New Roman" w:cs="Times New Roman"/>
          <w:sz w:val="24"/>
          <w:szCs w:val="24"/>
        </w:rPr>
        <w:t>. Согласно Аакеру, такие ассоциации напрямую влияют на продажи брендов (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Aaker</w:t>
      </w:r>
      <w:r w:rsidRPr="00541EC7">
        <w:rPr>
          <w:rFonts w:ascii="Times New Roman" w:hAnsi="Times New Roman" w:cs="Times New Roman"/>
          <w:sz w:val="24"/>
          <w:szCs w:val="24"/>
        </w:rPr>
        <w:t>, 1991).</w:t>
      </w:r>
      <w:r w:rsidR="00D4384D" w:rsidRPr="00541EC7">
        <w:rPr>
          <w:rFonts w:ascii="Times New Roman" w:hAnsi="Times New Roman" w:cs="Times New Roman"/>
          <w:sz w:val="24"/>
          <w:szCs w:val="24"/>
        </w:rPr>
        <w:t xml:space="preserve"> Понятно, однако, что при выборе данного варианта действий якорная ассоциация должна быть совершенно иной, чем у </w:t>
      </w:r>
      <w:r w:rsidR="00D4384D" w:rsidRPr="00541EC7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="00D4384D" w:rsidRPr="00541EC7">
        <w:rPr>
          <w:rFonts w:ascii="Times New Roman" w:hAnsi="Times New Roman" w:cs="Times New Roman"/>
          <w:sz w:val="24"/>
          <w:szCs w:val="24"/>
        </w:rPr>
        <w:t>-</w:t>
      </w:r>
      <w:r w:rsidR="00D4384D" w:rsidRPr="00541EC7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="00D4384D" w:rsidRPr="00541EC7">
        <w:rPr>
          <w:rFonts w:ascii="Times New Roman" w:hAnsi="Times New Roman" w:cs="Times New Roman"/>
          <w:sz w:val="24"/>
          <w:szCs w:val="24"/>
        </w:rPr>
        <w:t>.</w:t>
      </w:r>
    </w:p>
    <w:p w:rsidR="00300954" w:rsidRPr="00541EC7" w:rsidRDefault="00920EAA" w:rsidP="00C54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EC7">
        <w:rPr>
          <w:rFonts w:ascii="Times New Roman" w:hAnsi="Times New Roman" w:cs="Times New Roman"/>
          <w:sz w:val="24"/>
          <w:szCs w:val="24"/>
        </w:rPr>
        <w:t xml:space="preserve">В случае выбора первого варианта действий 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компания сможет реализовать стратегию </w:t>
      </w:r>
      <w:r w:rsidR="0007651F" w:rsidRPr="00541EC7">
        <w:rPr>
          <w:rFonts w:ascii="Times New Roman" w:hAnsi="Times New Roman" w:cs="Times New Roman"/>
          <w:sz w:val="24"/>
          <w:szCs w:val="24"/>
        </w:rPr>
        <w:t>с 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существующими напитками, принципиально не меняя </w:t>
      </w:r>
      <w:r w:rsidR="0007651F" w:rsidRPr="00541EC7">
        <w:rPr>
          <w:rFonts w:ascii="Times New Roman" w:hAnsi="Times New Roman" w:cs="Times New Roman"/>
          <w:sz w:val="24"/>
          <w:szCs w:val="24"/>
        </w:rPr>
        <w:t>идентичность брендов</w:t>
      </w:r>
      <w:r w:rsidR="00300954" w:rsidRPr="00541EC7">
        <w:rPr>
          <w:rFonts w:ascii="Times New Roman" w:hAnsi="Times New Roman" w:cs="Times New Roman"/>
          <w:sz w:val="24"/>
          <w:szCs w:val="24"/>
        </w:rPr>
        <w:t xml:space="preserve"> и не дополняя портфолио новыми брендами.</w:t>
      </w:r>
    </w:p>
    <w:p w:rsidR="00300954" w:rsidRPr="00541EC7" w:rsidRDefault="00300954" w:rsidP="00AD3D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C7">
        <w:rPr>
          <w:rFonts w:ascii="Times New Roman" w:hAnsi="Times New Roman" w:cs="Times New Roman"/>
          <w:sz w:val="24"/>
          <w:szCs w:val="24"/>
        </w:rPr>
        <w:t>Вторым, более глобальным и</w:t>
      </w:r>
      <w:r w:rsidR="0007651F" w:rsidRPr="00541EC7">
        <w:rPr>
          <w:rFonts w:ascii="Times New Roman" w:hAnsi="Times New Roman" w:cs="Times New Roman"/>
          <w:sz w:val="24"/>
          <w:szCs w:val="24"/>
        </w:rPr>
        <w:t>, как нам представляется,</w:t>
      </w:r>
      <w:r w:rsidRPr="00541EC7">
        <w:rPr>
          <w:rFonts w:ascii="Times New Roman" w:hAnsi="Times New Roman" w:cs="Times New Roman"/>
          <w:sz w:val="24"/>
          <w:szCs w:val="24"/>
        </w:rPr>
        <w:t xml:space="preserve"> стратегическим вариантом развития компании в категории </w:t>
      </w:r>
      <w:r w:rsidR="0007651F" w:rsidRPr="00541EC7">
        <w:rPr>
          <w:rFonts w:ascii="Times New Roman" w:hAnsi="Times New Roman" w:cs="Times New Roman"/>
          <w:sz w:val="24"/>
          <w:szCs w:val="24"/>
        </w:rPr>
        <w:t>газированных напитков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544A4" w:rsidRPr="00541EC7">
        <w:rPr>
          <w:rFonts w:ascii="Times New Roman" w:hAnsi="Times New Roman" w:cs="Times New Roman"/>
          <w:sz w:val="24"/>
          <w:szCs w:val="24"/>
        </w:rPr>
        <w:t xml:space="preserve">нам представляется </w:t>
      </w:r>
      <w:r w:rsidRPr="00541EC7">
        <w:rPr>
          <w:rFonts w:ascii="Times New Roman" w:hAnsi="Times New Roman" w:cs="Times New Roman"/>
          <w:sz w:val="24"/>
          <w:szCs w:val="24"/>
        </w:rPr>
        <w:t xml:space="preserve">переосмысление текущей линейки напитков и их идентичности. </w:t>
      </w:r>
      <w:r w:rsidR="007544A4" w:rsidRPr="00541EC7">
        <w:rPr>
          <w:rFonts w:ascii="Times New Roman" w:hAnsi="Times New Roman" w:cs="Times New Roman"/>
          <w:sz w:val="24"/>
          <w:szCs w:val="24"/>
        </w:rPr>
        <w:t xml:space="preserve">Чтобы приблизить имидж новых напитков </w:t>
      </w:r>
      <w:r w:rsidR="00D54511" w:rsidRPr="00541EC7">
        <w:rPr>
          <w:rFonts w:ascii="Times New Roman" w:hAnsi="Times New Roman" w:cs="Times New Roman"/>
          <w:sz w:val="24"/>
          <w:szCs w:val="24"/>
        </w:rPr>
        <w:t>к</w:t>
      </w:r>
      <w:r w:rsidR="007544A4" w:rsidRPr="00541EC7">
        <w:rPr>
          <w:rFonts w:ascii="Times New Roman" w:hAnsi="Times New Roman" w:cs="Times New Roman"/>
          <w:sz w:val="24"/>
          <w:szCs w:val="24"/>
        </w:rPr>
        <w:t xml:space="preserve"> имиджу глобальных, мало повышать информированность о них, необходимо также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544A4" w:rsidRPr="00541EC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544A4" w:rsidRPr="00541EC7">
        <w:rPr>
          <w:rFonts w:ascii="Times New Roman" w:hAnsi="Times New Roman" w:cs="Times New Roman"/>
          <w:sz w:val="24"/>
          <w:szCs w:val="24"/>
        </w:rPr>
        <w:lastRenderedPageBreak/>
        <w:t xml:space="preserve">их </w:t>
      </w:r>
      <w:r w:rsidRPr="00541EC7">
        <w:rPr>
          <w:rFonts w:ascii="Times New Roman" w:hAnsi="Times New Roman" w:cs="Times New Roman"/>
          <w:sz w:val="24"/>
          <w:szCs w:val="24"/>
        </w:rPr>
        <w:t>ребрендинг</w:t>
      </w:r>
      <w:r w:rsidR="007544A4" w:rsidRPr="00541EC7">
        <w:rPr>
          <w:rFonts w:ascii="Times New Roman" w:hAnsi="Times New Roman" w:cs="Times New Roman"/>
          <w:sz w:val="24"/>
          <w:szCs w:val="24"/>
        </w:rPr>
        <w:t>, сделать их дизайн более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необычным</w:t>
      </w:r>
      <w:r w:rsidR="007544A4" w:rsidRPr="00541EC7">
        <w:rPr>
          <w:rFonts w:ascii="Times New Roman" w:hAnsi="Times New Roman" w:cs="Times New Roman"/>
          <w:sz w:val="24"/>
          <w:szCs w:val="24"/>
        </w:rPr>
        <w:t>, а сами напитки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7544A4" w:rsidRPr="00541EC7">
        <w:rPr>
          <w:rFonts w:ascii="Times New Roman" w:hAnsi="Times New Roman" w:cs="Times New Roman"/>
          <w:sz w:val="24"/>
          <w:szCs w:val="24"/>
        </w:rPr>
        <w:t>–</w:t>
      </w:r>
      <w:r w:rsidRPr="00541EC7">
        <w:rPr>
          <w:rFonts w:ascii="Times New Roman" w:hAnsi="Times New Roman" w:cs="Times New Roman"/>
          <w:sz w:val="24"/>
          <w:szCs w:val="24"/>
        </w:rPr>
        <w:t xml:space="preserve"> более трендовыми.</w:t>
      </w:r>
      <w:r w:rsidR="007544A4" w:rsidRPr="00541EC7">
        <w:rPr>
          <w:rFonts w:ascii="Times New Roman" w:hAnsi="Times New Roman" w:cs="Times New Roman"/>
          <w:sz w:val="24"/>
          <w:szCs w:val="24"/>
        </w:rPr>
        <w:t xml:space="preserve"> При этом в </w:t>
      </w:r>
      <w:r w:rsidRPr="00541EC7">
        <w:rPr>
          <w:rFonts w:ascii="Times New Roman" w:hAnsi="Times New Roman" w:cs="Times New Roman"/>
          <w:sz w:val="24"/>
          <w:szCs w:val="24"/>
        </w:rPr>
        <w:t>дизайн</w:t>
      </w:r>
      <w:r w:rsidR="0007651F" w:rsidRPr="00541EC7">
        <w:rPr>
          <w:rFonts w:ascii="Times New Roman" w:hAnsi="Times New Roman" w:cs="Times New Roman"/>
          <w:sz w:val="24"/>
          <w:szCs w:val="24"/>
        </w:rPr>
        <w:t>е</w:t>
      </w:r>
      <w:r w:rsidRPr="00541EC7">
        <w:rPr>
          <w:rFonts w:ascii="Times New Roman" w:hAnsi="Times New Roman" w:cs="Times New Roman"/>
          <w:sz w:val="24"/>
          <w:szCs w:val="24"/>
        </w:rPr>
        <w:t xml:space="preserve"> </w:t>
      </w:r>
      <w:r w:rsidR="0007651F" w:rsidRPr="00541EC7">
        <w:rPr>
          <w:rFonts w:ascii="Times New Roman" w:hAnsi="Times New Roman" w:cs="Times New Roman"/>
          <w:sz w:val="24"/>
          <w:szCs w:val="24"/>
        </w:rPr>
        <w:t>могут быть применены</w:t>
      </w:r>
      <w:r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1F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</w:t>
      </w:r>
      <w:r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необычные формы, притягательные утверждения (claim) на упаковке, экстравагантные слоганы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всё</w:t>
      </w:r>
      <w:r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приблизить восприятие </w:t>
      </w:r>
      <w:r w:rsidR="0007651F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7651F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7651F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восприятию</w:t>
      </w:r>
      <w:r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глобальных.</w:t>
      </w:r>
      <w:r w:rsidR="007544A4" w:rsidRPr="005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выбора данного варианта действий после </w:t>
      </w:r>
      <w:r w:rsidR="007544A4" w:rsidRPr="00541EC7">
        <w:rPr>
          <w:rFonts w:ascii="Times New Roman" w:hAnsi="Times New Roman" w:cs="Times New Roman"/>
          <w:sz w:val="24"/>
          <w:szCs w:val="24"/>
        </w:rPr>
        <w:t>тестирования нового дизайна</w:t>
      </w:r>
      <w:r w:rsidR="00F97836" w:rsidRPr="00541EC7">
        <w:rPr>
          <w:rFonts w:ascii="Times New Roman" w:hAnsi="Times New Roman" w:cs="Times New Roman"/>
          <w:sz w:val="24"/>
          <w:szCs w:val="24"/>
        </w:rPr>
        <w:t xml:space="preserve"> должны быть проведены массовые рекламные 360-кампании, направленные на развитие информированности о напитках и на убеждение потребителей, на закладывании четкой ассоциации с глобальными напитками и убеждении в том, что локальные бренды – это то же самое, с таким же вкусным содержанием.</w:t>
      </w:r>
      <w:r w:rsidR="008515FE" w:rsidRPr="00541EC7">
        <w:rPr>
          <w:rFonts w:ascii="Times New Roman" w:hAnsi="Times New Roman" w:cs="Times New Roman"/>
          <w:sz w:val="24"/>
          <w:szCs w:val="24"/>
        </w:rPr>
        <w:t xml:space="preserve"> Учитывая высокую привязанность потребителей к ушедшим глобальным брендам, второй вариант действий представляется авторам более перспективным.</w:t>
      </w:r>
    </w:p>
    <w:p w:rsidR="00AD3DF2" w:rsidRPr="00CD7CDB" w:rsidRDefault="00CD7CDB" w:rsidP="00AD3DF2">
      <w:pPr>
        <w:pStyle w:val="1"/>
        <w:spacing w:before="0" w:after="0" w:line="240" w:lineRule="auto"/>
        <w:jc w:val="left"/>
        <w:rPr>
          <w:b w:val="0"/>
        </w:rPr>
      </w:pPr>
      <w:r w:rsidRPr="00CD7CDB">
        <w:rPr>
          <w:b w:val="0"/>
        </w:rPr>
        <w:t>……</w:t>
      </w:r>
    </w:p>
    <w:p w:rsidR="00CD7CDB" w:rsidRPr="00CD7CDB" w:rsidRDefault="00CD7CDB" w:rsidP="00CD7CDB">
      <w:r w:rsidRPr="00CD7CDB">
        <w:t>……..</w:t>
      </w:r>
    </w:p>
    <w:p w:rsidR="00CF5170" w:rsidRDefault="00CF5170" w:rsidP="00C54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B7B" w:rsidRDefault="007E0B7B" w:rsidP="00C5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7B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7E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70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B7B">
        <w:rPr>
          <w:rFonts w:ascii="Times New Roman" w:hAnsi="Times New Roman" w:cs="Times New Roman"/>
          <w:sz w:val="24"/>
          <w:szCs w:val="24"/>
        </w:rPr>
        <w:t xml:space="preserve">1. Тарарухина М. И., Ионцева И. М. Техника репертуарных решеток Дж. Келли //Социология: методология, методы, математические модели. 1997. №. 8. С. 114–138.  </w:t>
      </w:r>
    </w:p>
    <w:p w:rsidR="00CF5170" w:rsidRPr="002F19D2" w:rsidRDefault="00CF5170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F19D2">
        <w:rPr>
          <w:rFonts w:ascii="Times New Roman" w:hAnsi="Times New Roman" w:cs="Times New Roman"/>
          <w:sz w:val="24"/>
          <w:szCs w:val="24"/>
        </w:rPr>
        <w:t xml:space="preserve">2. </w:t>
      </w:r>
      <w:r w:rsidR="007E0B7B" w:rsidRPr="00CF5170">
        <w:rPr>
          <w:rFonts w:ascii="Times New Roman" w:hAnsi="Times New Roman" w:cs="Times New Roman"/>
          <w:sz w:val="24"/>
          <w:szCs w:val="24"/>
          <w:lang w:val="en-US"/>
        </w:rPr>
        <w:t>Nazarova</w:t>
      </w:r>
      <w:r w:rsidR="007E0B7B" w:rsidRPr="002F19D2">
        <w:rPr>
          <w:rFonts w:ascii="Times New Roman" w:hAnsi="Times New Roman" w:cs="Times New Roman"/>
          <w:sz w:val="24"/>
          <w:szCs w:val="24"/>
        </w:rPr>
        <w:t xml:space="preserve"> </w:t>
      </w:r>
      <w:r w:rsidR="007E0B7B" w:rsidRPr="00CF51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B7B" w:rsidRPr="002F19D2">
        <w:rPr>
          <w:rFonts w:ascii="Times New Roman" w:hAnsi="Times New Roman" w:cs="Times New Roman"/>
          <w:sz w:val="24"/>
          <w:szCs w:val="24"/>
        </w:rPr>
        <w:t xml:space="preserve">. </w:t>
      </w:r>
      <w:r w:rsidR="007E0B7B" w:rsidRPr="00CF51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B7B" w:rsidRPr="002F19D2">
        <w:rPr>
          <w:rFonts w:ascii="Times New Roman" w:hAnsi="Times New Roman" w:cs="Times New Roman"/>
          <w:sz w:val="24"/>
          <w:szCs w:val="24"/>
        </w:rPr>
        <w:t xml:space="preserve">. </w:t>
      </w:r>
      <w:r w:rsidR="007E0B7B" w:rsidRPr="00CF517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7E0B7B" w:rsidRPr="002F19D2">
        <w:rPr>
          <w:rFonts w:ascii="Times New Roman" w:hAnsi="Times New Roman" w:cs="Times New Roman"/>
          <w:sz w:val="24"/>
          <w:szCs w:val="24"/>
        </w:rPr>
        <w:t xml:space="preserve"> </w:t>
      </w:r>
      <w:r w:rsidR="007E0B7B" w:rsidRPr="00CF517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E0B7B" w:rsidRPr="002F19D2">
        <w:rPr>
          <w:rFonts w:ascii="Times New Roman" w:hAnsi="Times New Roman" w:cs="Times New Roman"/>
          <w:sz w:val="24"/>
          <w:szCs w:val="24"/>
        </w:rPr>
        <w:t xml:space="preserve">. </w:t>
      </w:r>
      <w:r w:rsidR="007E0B7B"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Consumer behaviour towards Russian brands of foreign FMCG companies // Russian Management Journal. 2022. Vol. 4. No. 20. P. 546–565. </w:t>
      </w:r>
    </w:p>
    <w:p w:rsidR="00CF5170" w:rsidRPr="00CF5170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>3. Armitage C. J., Conner M. Efficacy of the theory of planned behaviour: A metaanalytic review // British journal of social psych</w:t>
      </w:r>
      <w:r w:rsidR="00CF5170">
        <w:rPr>
          <w:rFonts w:ascii="Times New Roman" w:hAnsi="Times New Roman" w:cs="Times New Roman"/>
          <w:sz w:val="24"/>
          <w:szCs w:val="24"/>
          <w:lang w:val="en-US"/>
        </w:rPr>
        <w:t>ology. 2001. N 4. Pp. 471–499.</w:t>
      </w:r>
    </w:p>
    <w:p w:rsidR="00E86B1F" w:rsidRPr="00CF5170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4. Aaker D. A., Equity M. B. Capitalizing on the Value of a Brand Name // Journal of Business Research. </w:t>
      </w:r>
      <w:r w:rsidRPr="00CF5170">
        <w:rPr>
          <w:rFonts w:ascii="Times New Roman" w:hAnsi="Times New Roman" w:cs="Times New Roman"/>
          <w:sz w:val="24"/>
          <w:szCs w:val="24"/>
          <w:lang w:val="en-US"/>
        </w:rPr>
        <w:t>1991. N 29. Pp. 247–248</w:t>
      </w:r>
    </w:p>
    <w:p w:rsidR="007E0B7B" w:rsidRPr="00CF5170" w:rsidRDefault="007E0B7B" w:rsidP="00C546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170" w:rsidRPr="002F19D2" w:rsidRDefault="007E0B7B" w:rsidP="00C54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CF5170" w:rsidRPr="002F19D2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1. Tararukhina, M. I.; Iontseva, I. M. (1997) Technique of repertory lattices J. Kelly. Sociology: methodology, methods, mathematical models, 1997, no. 8, pp. 114–138. </w:t>
      </w:r>
    </w:p>
    <w:p w:rsidR="00CF5170" w:rsidRPr="002F19D2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2. Nazarova, V. V.; et al. (2022) Consumer behaviour towards Russian brands of foreign FMCG companies. Russian Management Journal, 2022, Vol. 4, No. 20, pp. 546–565. </w:t>
      </w:r>
    </w:p>
    <w:p w:rsidR="00CF5170" w:rsidRPr="002F19D2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3. Armitage, C. J.; Conner, M. (2001) Efficacy of the theory of planned behaviour: A metaanalytic review. British journal of social psychology, 2001, no. 4, pp. 471–499. </w:t>
      </w:r>
    </w:p>
    <w:p w:rsidR="007E0B7B" w:rsidRPr="007E0B7B" w:rsidRDefault="007E0B7B" w:rsidP="00CF51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E0B7B">
        <w:rPr>
          <w:rFonts w:ascii="Times New Roman" w:hAnsi="Times New Roman" w:cs="Times New Roman"/>
          <w:sz w:val="24"/>
          <w:szCs w:val="24"/>
          <w:lang w:val="en-US"/>
        </w:rPr>
        <w:t xml:space="preserve">4. Aaker, D. A.; Equity, M. B. (1991) Capitalizing on the Value of a Brand Name. </w:t>
      </w:r>
      <w:r w:rsidRPr="00CF5170">
        <w:rPr>
          <w:rFonts w:ascii="Times New Roman" w:hAnsi="Times New Roman" w:cs="Times New Roman"/>
          <w:sz w:val="24"/>
          <w:szCs w:val="24"/>
          <w:lang w:val="en-US"/>
        </w:rPr>
        <w:t>Journal of Business Research, 1991, no. 29, pp. 247–248</w:t>
      </w:r>
    </w:p>
    <w:sectPr w:rsidR="007E0B7B" w:rsidRPr="007E0B7B" w:rsidSect="00424908">
      <w:footerReference w:type="default" r:id="rId14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7E" w:rsidRDefault="00460C7E" w:rsidP="00300954">
      <w:pPr>
        <w:spacing w:after="0" w:line="240" w:lineRule="auto"/>
      </w:pPr>
      <w:r>
        <w:separator/>
      </w:r>
    </w:p>
  </w:endnote>
  <w:endnote w:type="continuationSeparator" w:id="1">
    <w:p w:rsidR="00460C7E" w:rsidRDefault="00460C7E" w:rsidP="0030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52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389C" w:rsidRPr="007408F9" w:rsidRDefault="00D30DE0">
        <w:pPr>
          <w:pStyle w:val="af2"/>
          <w:jc w:val="center"/>
          <w:rPr>
            <w:rFonts w:ascii="Times New Roman" w:hAnsi="Times New Roman" w:cs="Times New Roman"/>
          </w:rPr>
        </w:pPr>
        <w:r w:rsidRPr="007408F9">
          <w:rPr>
            <w:rFonts w:ascii="Times New Roman" w:hAnsi="Times New Roman" w:cs="Times New Roman"/>
          </w:rPr>
          <w:fldChar w:fldCharType="begin"/>
        </w:r>
        <w:r w:rsidR="00CA389C" w:rsidRPr="007408F9">
          <w:rPr>
            <w:rFonts w:ascii="Times New Roman" w:hAnsi="Times New Roman" w:cs="Times New Roman"/>
          </w:rPr>
          <w:instrText>PAGE   \* MERGEFORMAT</w:instrText>
        </w:r>
        <w:r w:rsidRPr="007408F9">
          <w:rPr>
            <w:rFonts w:ascii="Times New Roman" w:hAnsi="Times New Roman" w:cs="Times New Roman"/>
          </w:rPr>
          <w:fldChar w:fldCharType="separate"/>
        </w:r>
        <w:r w:rsidR="00F521C6">
          <w:rPr>
            <w:rFonts w:ascii="Times New Roman" w:hAnsi="Times New Roman" w:cs="Times New Roman"/>
            <w:noProof/>
          </w:rPr>
          <w:t>2</w:t>
        </w:r>
        <w:r w:rsidRPr="007408F9">
          <w:rPr>
            <w:rFonts w:ascii="Times New Roman" w:hAnsi="Times New Roman" w:cs="Times New Roman"/>
          </w:rPr>
          <w:fldChar w:fldCharType="end"/>
        </w:r>
      </w:p>
    </w:sdtContent>
  </w:sdt>
  <w:p w:rsidR="00CA389C" w:rsidRDefault="00CA3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7E" w:rsidRDefault="00460C7E" w:rsidP="00300954">
      <w:pPr>
        <w:spacing w:after="0" w:line="240" w:lineRule="auto"/>
      </w:pPr>
      <w:r>
        <w:separator/>
      </w:r>
    </w:p>
  </w:footnote>
  <w:footnote w:type="continuationSeparator" w:id="1">
    <w:p w:rsidR="00460C7E" w:rsidRDefault="00460C7E" w:rsidP="00300954">
      <w:pPr>
        <w:spacing w:after="0" w:line="240" w:lineRule="auto"/>
      </w:pPr>
      <w:r>
        <w:continuationSeparator/>
      </w:r>
    </w:p>
  </w:footnote>
  <w:footnote w:id="2">
    <w:p w:rsidR="00CA389C" w:rsidRPr="004002FD" w:rsidRDefault="00CA389C" w:rsidP="00300954">
      <w:pPr>
        <w:pStyle w:val="af4"/>
        <w:rPr>
          <w:rFonts w:ascii="Times New Roman" w:hAnsi="Times New Roman" w:cs="Times New Roman"/>
        </w:rPr>
      </w:pPr>
      <w:r w:rsidRPr="004002FD">
        <w:rPr>
          <w:rStyle w:val="af6"/>
          <w:rFonts w:ascii="Times New Roman" w:hAnsi="Times New Roman" w:cs="Times New Roman"/>
        </w:rPr>
        <w:footnoteRef/>
      </w:r>
      <w:r w:rsidRPr="004002FD">
        <w:rPr>
          <w:rFonts w:ascii="Times New Roman" w:hAnsi="Times New Roman" w:cs="Times New Roman"/>
        </w:rPr>
        <w:t xml:space="preserve"> </w:t>
      </w:r>
      <w:r w:rsidRPr="004002FD">
        <w:rPr>
          <w:rFonts w:ascii="Times New Roman" w:hAnsi="Times New Roman" w:cs="Times New Roman"/>
          <w:lang w:val="en-US"/>
        </w:rPr>
        <w:t>Aquarelle</w:t>
      </w:r>
      <w:r w:rsidRPr="004002FD">
        <w:rPr>
          <w:rFonts w:ascii="Times New Roman" w:hAnsi="Times New Roman" w:cs="Times New Roman"/>
        </w:rPr>
        <w:t xml:space="preserve"> </w:t>
      </w:r>
      <w:r w:rsidRPr="004002FD">
        <w:rPr>
          <w:rFonts w:ascii="Times New Roman" w:hAnsi="Times New Roman" w:cs="Times New Roman"/>
          <w:lang w:val="en-US"/>
        </w:rPr>
        <w:t>Research</w:t>
      </w:r>
      <w:r w:rsidRPr="004002FD">
        <w:rPr>
          <w:rFonts w:ascii="Times New Roman" w:hAnsi="Times New Roman" w:cs="Times New Roman"/>
        </w:rPr>
        <w:t xml:space="preserve">, 2022 [Электронный ресурс]. – Режим доступа: </w:t>
      </w:r>
      <w:hyperlink r:id="rId1" w:history="1">
        <w:r w:rsidRPr="004002FD">
          <w:rPr>
            <w:rStyle w:val="a4"/>
            <w:rFonts w:ascii="Times New Roman" w:hAnsi="Times New Roman" w:cs="Times New Roman"/>
          </w:rPr>
          <w:t>https://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aquarelle</w:t>
        </w:r>
        <w:r w:rsidRPr="004002FD">
          <w:rPr>
            <w:rStyle w:val="a4"/>
            <w:rFonts w:ascii="Times New Roman" w:hAnsi="Times New Roman" w:cs="Times New Roman"/>
          </w:rPr>
          <w:t>-</w:t>
        </w:r>
        <w:r w:rsidRPr="004002FD">
          <w:rPr>
            <w:rStyle w:val="a4"/>
            <w:rFonts w:ascii="Times New Roman" w:hAnsi="Times New Roman" w:cs="Times New Roman"/>
            <w:lang w:val="en-US"/>
          </w:rPr>
          <w:t>research</w:t>
        </w:r>
        <w:r w:rsidRPr="004002FD">
          <w:rPr>
            <w:rStyle w:val="a4"/>
            <w:rFonts w:ascii="Times New Roman" w:hAnsi="Times New Roman" w:cs="Times New Roman"/>
          </w:rPr>
          <w:t>.</w:t>
        </w:r>
        <w:r w:rsidRPr="004002FD">
          <w:rPr>
            <w:rStyle w:val="a4"/>
            <w:rFonts w:ascii="Times New Roman" w:hAnsi="Times New Roman" w:cs="Times New Roman"/>
            <w:lang w:val="en-US"/>
          </w:rPr>
          <w:t>com</w:t>
        </w:r>
        <w:r w:rsidRPr="004002FD">
          <w:rPr>
            <w:rStyle w:val="a4"/>
            <w:rFonts w:ascii="Times New Roman" w:hAnsi="Times New Roman" w:cs="Times New Roman"/>
          </w:rPr>
          <w:t>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optimism</w:t>
        </w:r>
        <w:r w:rsidRPr="004002FD">
          <w:rPr>
            <w:rStyle w:val="a4"/>
            <w:rFonts w:ascii="Times New Roman" w:hAnsi="Times New Roman" w:cs="Times New Roman"/>
          </w:rPr>
          <w:t>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wave</w:t>
        </w:r>
        <w:r w:rsidRPr="004002FD">
          <w:rPr>
            <w:rStyle w:val="a4"/>
            <w:rFonts w:ascii="Times New Roman" w:hAnsi="Times New Roman" w:cs="Times New Roman"/>
          </w:rPr>
          <w:t>9</w:t>
        </w:r>
      </w:hyperlink>
      <w:r w:rsidRPr="004002FD">
        <w:rPr>
          <w:rFonts w:ascii="Times New Roman" w:hAnsi="Times New Roman" w:cs="Times New Roman"/>
        </w:rPr>
        <w:t xml:space="preserve"> </w:t>
      </w:r>
      <w:r w:rsidRPr="004002FD">
        <w:rPr>
          <w:rFonts w:ascii="Times New Roman" w:hAnsi="Times New Roman" w:cs="Times New Roman"/>
          <w:color w:val="000000"/>
          <w:shd w:val="clear" w:color="auto" w:fill="FFFFFF"/>
        </w:rPr>
        <w:t>(дата обращения: 13.01.2023)</w:t>
      </w:r>
    </w:p>
  </w:footnote>
  <w:footnote w:id="3">
    <w:p w:rsidR="00CA389C" w:rsidRPr="004002FD" w:rsidRDefault="00CA389C" w:rsidP="00300954">
      <w:pPr>
        <w:pStyle w:val="af4"/>
        <w:rPr>
          <w:rFonts w:ascii="Times New Roman" w:hAnsi="Times New Roman" w:cs="Times New Roman"/>
        </w:rPr>
      </w:pPr>
      <w:r w:rsidRPr="004002FD">
        <w:rPr>
          <w:rStyle w:val="af6"/>
          <w:rFonts w:ascii="Times New Roman" w:hAnsi="Times New Roman" w:cs="Times New Roman"/>
        </w:rPr>
        <w:footnoteRef/>
      </w:r>
      <w:r w:rsidRPr="004002FD">
        <w:rPr>
          <w:rFonts w:ascii="Times New Roman" w:hAnsi="Times New Roman" w:cs="Times New Roman"/>
        </w:rPr>
        <w:t xml:space="preserve"> NielsenIQ, Индекс потребительского оптимизма, Q3 2022 [Электронный ресурс]. – Режим доступа: </w:t>
      </w:r>
      <w:hyperlink r:id="rId2" w:history="1">
        <w:r w:rsidRPr="004002FD">
          <w:rPr>
            <w:rStyle w:val="a4"/>
            <w:rFonts w:ascii="Times New Roman" w:hAnsi="Times New Roman" w:cs="Times New Roman"/>
            <w:lang w:val="en-US"/>
          </w:rPr>
          <w:t>https</w:t>
        </w:r>
        <w:r w:rsidRPr="004002FD">
          <w:rPr>
            <w:rStyle w:val="a4"/>
            <w:rFonts w:ascii="Times New Roman" w:hAnsi="Times New Roman" w:cs="Times New Roman"/>
          </w:rPr>
          <w:t>://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dialog</w:t>
        </w:r>
        <w:r w:rsidRPr="004002FD">
          <w:rPr>
            <w:rStyle w:val="a4"/>
            <w:rFonts w:ascii="Times New Roman" w:hAnsi="Times New Roman" w:cs="Times New Roman"/>
          </w:rPr>
          <w:t>.</w:t>
        </w:r>
        <w:r w:rsidRPr="004002FD">
          <w:rPr>
            <w:rStyle w:val="a4"/>
            <w:rFonts w:ascii="Times New Roman" w:hAnsi="Times New Roman" w:cs="Times New Roman"/>
            <w:lang w:val="en-US"/>
          </w:rPr>
          <w:t>x</w:t>
        </w:r>
        <w:r w:rsidRPr="004002FD">
          <w:rPr>
            <w:rStyle w:val="a4"/>
            <w:rFonts w:ascii="Times New Roman" w:hAnsi="Times New Roman" w:cs="Times New Roman"/>
          </w:rPr>
          <w:t>5.</w:t>
        </w:r>
        <w:r w:rsidRPr="004002FD">
          <w:rPr>
            <w:rStyle w:val="a4"/>
            <w:rFonts w:ascii="Times New Roman" w:hAnsi="Times New Roman" w:cs="Times New Roman"/>
            <w:lang w:val="en-US"/>
          </w:rPr>
          <w:t>ru</w:t>
        </w:r>
        <w:r w:rsidRPr="004002FD">
          <w:rPr>
            <w:rStyle w:val="a4"/>
            <w:rFonts w:ascii="Times New Roman" w:hAnsi="Times New Roman" w:cs="Times New Roman"/>
          </w:rPr>
          <w:t>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connect</w:t>
        </w:r>
        <w:r w:rsidRPr="004002FD">
          <w:rPr>
            <w:rStyle w:val="a4"/>
            <w:rFonts w:ascii="Times New Roman" w:hAnsi="Times New Roman" w:cs="Times New Roman"/>
          </w:rPr>
          <w:t>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wp</w:t>
        </w:r>
        <w:r w:rsidRPr="004002FD">
          <w:rPr>
            <w:rStyle w:val="a4"/>
            <w:rFonts w:ascii="Times New Roman" w:hAnsi="Times New Roman" w:cs="Times New Roman"/>
          </w:rPr>
          <w:t>-</w:t>
        </w:r>
        <w:r w:rsidRPr="004002FD">
          <w:rPr>
            <w:rStyle w:val="a4"/>
            <w:rFonts w:ascii="Times New Roman" w:hAnsi="Times New Roman" w:cs="Times New Roman"/>
            <w:lang w:val="en-US"/>
          </w:rPr>
          <w:t>content</w:t>
        </w:r>
        <w:r w:rsidRPr="004002FD">
          <w:rPr>
            <w:rStyle w:val="a4"/>
            <w:rFonts w:ascii="Times New Roman" w:hAnsi="Times New Roman" w:cs="Times New Roman"/>
          </w:rPr>
          <w:t>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uploads</w:t>
        </w:r>
        <w:r w:rsidRPr="004002FD">
          <w:rPr>
            <w:rStyle w:val="a4"/>
            <w:rFonts w:ascii="Times New Roman" w:hAnsi="Times New Roman" w:cs="Times New Roman"/>
          </w:rPr>
          <w:t>/2022/07/</w:t>
        </w:r>
        <w:r w:rsidRPr="004002FD">
          <w:rPr>
            <w:rStyle w:val="a4"/>
            <w:rFonts w:ascii="Times New Roman" w:hAnsi="Times New Roman" w:cs="Times New Roman"/>
            <w:lang w:val="en-US"/>
          </w:rPr>
          <w:t>Pokupatel</w:t>
        </w:r>
        <w:r w:rsidRPr="004002FD">
          <w:rPr>
            <w:rStyle w:val="a4"/>
            <w:rFonts w:ascii="Times New Roman" w:hAnsi="Times New Roman" w:cs="Times New Roman"/>
          </w:rPr>
          <w:t>-</w:t>
        </w:r>
        <w:r w:rsidRPr="004002FD">
          <w:rPr>
            <w:rStyle w:val="a4"/>
            <w:rFonts w:ascii="Times New Roman" w:hAnsi="Times New Roman" w:cs="Times New Roman"/>
            <w:lang w:val="en-US"/>
          </w:rPr>
          <w:t>i</w:t>
        </w:r>
        <w:r w:rsidRPr="004002FD">
          <w:rPr>
            <w:rStyle w:val="a4"/>
            <w:rFonts w:ascii="Times New Roman" w:hAnsi="Times New Roman" w:cs="Times New Roman"/>
          </w:rPr>
          <w:t>-</w:t>
        </w:r>
        <w:r w:rsidRPr="004002FD">
          <w:rPr>
            <w:rStyle w:val="a4"/>
            <w:rFonts w:ascii="Times New Roman" w:hAnsi="Times New Roman" w:cs="Times New Roman"/>
            <w:lang w:val="en-US"/>
          </w:rPr>
          <w:t>ritejl</w:t>
        </w:r>
        <w:r w:rsidRPr="004002FD">
          <w:rPr>
            <w:rStyle w:val="a4"/>
            <w:rFonts w:ascii="Times New Roman" w:hAnsi="Times New Roman" w:cs="Times New Roman"/>
          </w:rPr>
          <w:t>.-</w:t>
        </w:r>
        <w:r w:rsidRPr="004002FD">
          <w:rPr>
            <w:rStyle w:val="a4"/>
            <w:rFonts w:ascii="Times New Roman" w:hAnsi="Times New Roman" w:cs="Times New Roman"/>
            <w:lang w:val="en-US"/>
          </w:rPr>
          <w:t>NielsenIQ</w:t>
        </w:r>
        <w:r w:rsidRPr="004002FD">
          <w:rPr>
            <w:rStyle w:val="a4"/>
            <w:rFonts w:ascii="Times New Roman" w:hAnsi="Times New Roman" w:cs="Times New Roman"/>
          </w:rPr>
          <w:t>_</w:t>
        </w:r>
        <w:r w:rsidRPr="004002FD">
          <w:rPr>
            <w:rStyle w:val="a4"/>
            <w:rFonts w:ascii="Times New Roman" w:hAnsi="Times New Roman" w:cs="Times New Roman"/>
            <w:lang w:val="en-US"/>
          </w:rPr>
          <w:t>D</w:t>
        </w:r>
        <w:r w:rsidRPr="004002FD">
          <w:rPr>
            <w:rStyle w:val="a4"/>
            <w:rFonts w:ascii="Times New Roman" w:hAnsi="Times New Roman" w:cs="Times New Roman"/>
          </w:rPr>
          <w:t>.</w:t>
        </w:r>
        <w:r w:rsidRPr="004002FD">
          <w:rPr>
            <w:rStyle w:val="a4"/>
            <w:rFonts w:ascii="Times New Roman" w:hAnsi="Times New Roman" w:cs="Times New Roman"/>
            <w:lang w:val="en-US"/>
          </w:rPr>
          <w:t>Grinchak</w:t>
        </w:r>
        <w:r w:rsidRPr="004002FD">
          <w:rPr>
            <w:rStyle w:val="a4"/>
            <w:rFonts w:ascii="Times New Roman" w:hAnsi="Times New Roman" w:cs="Times New Roman"/>
          </w:rPr>
          <w:t>.</w:t>
        </w:r>
        <w:r w:rsidRPr="004002FD">
          <w:rPr>
            <w:rStyle w:val="a4"/>
            <w:rFonts w:ascii="Times New Roman" w:hAnsi="Times New Roman" w:cs="Times New Roman"/>
            <w:lang w:val="en-US"/>
          </w:rPr>
          <w:t>pdf</w:t>
        </w:r>
      </w:hyperlink>
      <w:r w:rsidRPr="004002FD">
        <w:rPr>
          <w:rFonts w:ascii="Times New Roman" w:hAnsi="Times New Roman" w:cs="Times New Roman"/>
        </w:rPr>
        <w:t xml:space="preserve">  </w:t>
      </w:r>
      <w:r w:rsidRPr="004002FD">
        <w:rPr>
          <w:rFonts w:ascii="Times New Roman" w:hAnsi="Times New Roman" w:cs="Times New Roman"/>
          <w:color w:val="000000"/>
          <w:shd w:val="clear" w:color="auto" w:fill="FFFFFF"/>
        </w:rPr>
        <w:t>(дата обращения: 13.02.2023)</w:t>
      </w:r>
    </w:p>
  </w:footnote>
  <w:footnote w:id="4">
    <w:p w:rsidR="00CA389C" w:rsidRPr="004002FD" w:rsidRDefault="00CA389C" w:rsidP="00300954">
      <w:pPr>
        <w:pStyle w:val="af4"/>
      </w:pPr>
      <w:r w:rsidRPr="004002FD">
        <w:rPr>
          <w:rStyle w:val="af6"/>
          <w:rFonts w:ascii="Times New Roman" w:hAnsi="Times New Roman" w:cs="Times New Roman"/>
        </w:rPr>
        <w:footnoteRef/>
      </w:r>
      <w:r w:rsidRPr="004002FD">
        <w:rPr>
          <w:rFonts w:ascii="Times New Roman" w:hAnsi="Times New Roman" w:cs="Times New Roman"/>
        </w:rPr>
        <w:t xml:space="preserve"> ИОМ Анкетолог, 2023 [Электронный ресурс]. – Режим доступа: </w:t>
      </w:r>
      <w:hyperlink r:id="rId3" w:history="1">
        <w:r w:rsidRPr="004002FD">
          <w:rPr>
            <w:rStyle w:val="a4"/>
            <w:rFonts w:ascii="Times New Roman" w:hAnsi="Times New Roman" w:cs="Times New Roman"/>
          </w:rPr>
          <w:t>https://iom.anketolog.ru/2023/01/31/kakih-inostrannyh-produktov-pitaniya-ne-hvataet</w:t>
        </w:r>
      </w:hyperlink>
      <w:r w:rsidRPr="004002FD">
        <w:rPr>
          <w:rFonts w:ascii="Times New Roman" w:hAnsi="Times New Roman" w:cs="Times New Roman"/>
        </w:rPr>
        <w:t xml:space="preserve"> </w:t>
      </w:r>
      <w:r w:rsidRPr="004002FD">
        <w:rPr>
          <w:rFonts w:ascii="Times New Roman" w:hAnsi="Times New Roman" w:cs="Times New Roman"/>
          <w:color w:val="000000"/>
          <w:shd w:val="clear" w:color="auto" w:fill="FFFFFF"/>
        </w:rPr>
        <w:t>(дата обращения: 10.02.2023)</w:t>
      </w:r>
    </w:p>
  </w:footnote>
  <w:footnote w:id="5">
    <w:p w:rsidR="00CA389C" w:rsidRPr="00A45BB1" w:rsidRDefault="00CA389C" w:rsidP="00A45BB1">
      <w:pPr>
        <w:pStyle w:val="a3"/>
        <w:spacing w:after="0" w:line="240" w:lineRule="auto"/>
        <w:ind w:left="0"/>
        <w:rPr>
          <w:lang w:val="en-US"/>
        </w:rPr>
      </w:pPr>
      <w:r>
        <w:rPr>
          <w:rStyle w:val="af6"/>
        </w:rPr>
        <w:footnoteRef/>
      </w:r>
      <w:r w:rsidRPr="00A45BB1">
        <w:rPr>
          <w:lang w:val="en-US"/>
        </w:rPr>
        <w:t xml:space="preserve"> </w:t>
      </w:r>
      <w:r w:rsidRPr="00541EC7">
        <w:rPr>
          <w:rFonts w:ascii="Times New Roman" w:hAnsi="Times New Roman" w:cs="Times New Roman"/>
          <w:sz w:val="24"/>
          <w:szCs w:val="24"/>
          <w:lang w:val="en-US"/>
        </w:rPr>
        <w:t>Armitage C.J., Conner M. Efficacy of the theory of planned behaviour: A meta‐analytic review // British journal of social psychology. – 2001. – N 4. – Pp. 471-499.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B0A"/>
    <w:multiLevelType w:val="hybridMultilevel"/>
    <w:tmpl w:val="8CA86CDC"/>
    <w:lvl w:ilvl="0" w:tplc="E1063780">
      <w:start w:val="1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4B3C46"/>
    <w:multiLevelType w:val="hybridMultilevel"/>
    <w:tmpl w:val="C5F60966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713958"/>
    <w:multiLevelType w:val="hybridMultilevel"/>
    <w:tmpl w:val="310C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0DB"/>
    <w:multiLevelType w:val="hybridMultilevel"/>
    <w:tmpl w:val="B52E3E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931554"/>
    <w:multiLevelType w:val="hybridMultilevel"/>
    <w:tmpl w:val="E8825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152998"/>
    <w:multiLevelType w:val="hybridMultilevel"/>
    <w:tmpl w:val="BECC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5E10"/>
    <w:multiLevelType w:val="hybridMultilevel"/>
    <w:tmpl w:val="D61206B8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44738C"/>
    <w:multiLevelType w:val="multilevel"/>
    <w:tmpl w:val="DDA49BE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A4EA8"/>
    <w:multiLevelType w:val="hybridMultilevel"/>
    <w:tmpl w:val="A0848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3A1868"/>
    <w:multiLevelType w:val="hybridMultilevel"/>
    <w:tmpl w:val="F8F6BA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91378"/>
    <w:multiLevelType w:val="hybridMultilevel"/>
    <w:tmpl w:val="CCCE91C2"/>
    <w:lvl w:ilvl="0" w:tplc="82F215F6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9794B03"/>
    <w:multiLevelType w:val="hybridMultilevel"/>
    <w:tmpl w:val="64045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30EB2"/>
    <w:multiLevelType w:val="hybridMultilevel"/>
    <w:tmpl w:val="F8F2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02676"/>
    <w:multiLevelType w:val="hybridMultilevel"/>
    <w:tmpl w:val="092C5B30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FB22BE"/>
    <w:multiLevelType w:val="hybridMultilevel"/>
    <w:tmpl w:val="230C0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5270C"/>
    <w:multiLevelType w:val="hybridMultilevel"/>
    <w:tmpl w:val="4556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13C5"/>
    <w:multiLevelType w:val="hybridMultilevel"/>
    <w:tmpl w:val="42C85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D2E1398"/>
    <w:multiLevelType w:val="hybridMultilevel"/>
    <w:tmpl w:val="8082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73228"/>
    <w:multiLevelType w:val="multilevel"/>
    <w:tmpl w:val="D5F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912BA0"/>
    <w:multiLevelType w:val="hybridMultilevel"/>
    <w:tmpl w:val="26A0367C"/>
    <w:lvl w:ilvl="0" w:tplc="CB00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2002D7"/>
    <w:multiLevelType w:val="hybridMultilevel"/>
    <w:tmpl w:val="3BCEBB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F882B85"/>
    <w:multiLevelType w:val="hybridMultilevel"/>
    <w:tmpl w:val="72A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04C75"/>
    <w:multiLevelType w:val="hybridMultilevel"/>
    <w:tmpl w:val="2AEAC706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5B74C4"/>
    <w:multiLevelType w:val="multilevel"/>
    <w:tmpl w:val="00C850F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53D8F"/>
    <w:multiLevelType w:val="hybridMultilevel"/>
    <w:tmpl w:val="788E437E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DF73F4"/>
    <w:multiLevelType w:val="hybridMultilevel"/>
    <w:tmpl w:val="55C4C1B0"/>
    <w:lvl w:ilvl="0" w:tplc="B8644B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0387C"/>
    <w:multiLevelType w:val="hybridMultilevel"/>
    <w:tmpl w:val="7A3AA3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B1A5C00"/>
    <w:multiLevelType w:val="multilevel"/>
    <w:tmpl w:val="5D1ECAF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16"/>
  </w:num>
  <w:num w:numId="8">
    <w:abstractNumId w:val="26"/>
  </w:num>
  <w:num w:numId="9">
    <w:abstractNumId w:val="18"/>
  </w:num>
  <w:num w:numId="10">
    <w:abstractNumId w:val="12"/>
  </w:num>
  <w:num w:numId="11">
    <w:abstractNumId w:val="11"/>
  </w:num>
  <w:num w:numId="12">
    <w:abstractNumId w:val="14"/>
  </w:num>
  <w:num w:numId="13">
    <w:abstractNumId w:val="2"/>
  </w:num>
  <w:num w:numId="14">
    <w:abstractNumId w:val="22"/>
  </w:num>
  <w:num w:numId="15">
    <w:abstractNumId w:val="1"/>
  </w:num>
  <w:num w:numId="16">
    <w:abstractNumId w:val="6"/>
  </w:num>
  <w:num w:numId="17">
    <w:abstractNumId w:val="13"/>
  </w:num>
  <w:num w:numId="18">
    <w:abstractNumId w:val="23"/>
  </w:num>
  <w:num w:numId="19">
    <w:abstractNumId w:val="7"/>
  </w:num>
  <w:num w:numId="20">
    <w:abstractNumId w:val="27"/>
  </w:num>
  <w:num w:numId="21">
    <w:abstractNumId w:val="24"/>
  </w:num>
  <w:num w:numId="22">
    <w:abstractNumId w:val="25"/>
  </w:num>
  <w:num w:numId="23">
    <w:abstractNumId w:val="21"/>
  </w:num>
  <w:num w:numId="24">
    <w:abstractNumId w:val="0"/>
  </w:num>
  <w:num w:numId="25">
    <w:abstractNumId w:val="5"/>
  </w:num>
  <w:num w:numId="26">
    <w:abstractNumId w:val="17"/>
  </w:num>
  <w:num w:numId="27">
    <w:abstractNumId w:val="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A5A5C"/>
    <w:rsid w:val="00023652"/>
    <w:rsid w:val="00023CAE"/>
    <w:rsid w:val="00070999"/>
    <w:rsid w:val="0007651F"/>
    <w:rsid w:val="00082EC8"/>
    <w:rsid w:val="000872F3"/>
    <w:rsid w:val="00094A62"/>
    <w:rsid w:val="000C1330"/>
    <w:rsid w:val="000F4C57"/>
    <w:rsid w:val="00120B7D"/>
    <w:rsid w:val="00171BAF"/>
    <w:rsid w:val="001A26CE"/>
    <w:rsid w:val="001E0F8D"/>
    <w:rsid w:val="00233815"/>
    <w:rsid w:val="00246A34"/>
    <w:rsid w:val="00247DE2"/>
    <w:rsid w:val="00250914"/>
    <w:rsid w:val="00267447"/>
    <w:rsid w:val="00281879"/>
    <w:rsid w:val="0029109B"/>
    <w:rsid w:val="002D7CC4"/>
    <w:rsid w:val="002E3FD4"/>
    <w:rsid w:val="002F19D2"/>
    <w:rsid w:val="00300954"/>
    <w:rsid w:val="00302C1E"/>
    <w:rsid w:val="003065AE"/>
    <w:rsid w:val="0034380C"/>
    <w:rsid w:val="003E2282"/>
    <w:rsid w:val="003F1AEE"/>
    <w:rsid w:val="004002FD"/>
    <w:rsid w:val="00424908"/>
    <w:rsid w:val="00460C7E"/>
    <w:rsid w:val="00476423"/>
    <w:rsid w:val="00492185"/>
    <w:rsid w:val="004A0B4B"/>
    <w:rsid w:val="004A5215"/>
    <w:rsid w:val="004A5A5C"/>
    <w:rsid w:val="004B41BD"/>
    <w:rsid w:val="004C0F24"/>
    <w:rsid w:val="004C4D58"/>
    <w:rsid w:val="0051633B"/>
    <w:rsid w:val="00532C5B"/>
    <w:rsid w:val="00541EC7"/>
    <w:rsid w:val="00552499"/>
    <w:rsid w:val="00560797"/>
    <w:rsid w:val="0059279C"/>
    <w:rsid w:val="005A44D9"/>
    <w:rsid w:val="005A4DE2"/>
    <w:rsid w:val="005C592E"/>
    <w:rsid w:val="005E04EF"/>
    <w:rsid w:val="005E762B"/>
    <w:rsid w:val="005F198A"/>
    <w:rsid w:val="0060431B"/>
    <w:rsid w:val="00607889"/>
    <w:rsid w:val="006B20C7"/>
    <w:rsid w:val="006D6BD7"/>
    <w:rsid w:val="006E0C69"/>
    <w:rsid w:val="006E6CC6"/>
    <w:rsid w:val="00715332"/>
    <w:rsid w:val="007219C7"/>
    <w:rsid w:val="00734C8B"/>
    <w:rsid w:val="007544A4"/>
    <w:rsid w:val="007B442F"/>
    <w:rsid w:val="007C71AF"/>
    <w:rsid w:val="007D3694"/>
    <w:rsid w:val="007E0B7B"/>
    <w:rsid w:val="00803051"/>
    <w:rsid w:val="008114AD"/>
    <w:rsid w:val="008515FE"/>
    <w:rsid w:val="0085516F"/>
    <w:rsid w:val="00864226"/>
    <w:rsid w:val="00886E32"/>
    <w:rsid w:val="008A7679"/>
    <w:rsid w:val="008B2B2C"/>
    <w:rsid w:val="008D1177"/>
    <w:rsid w:val="00904CB6"/>
    <w:rsid w:val="00920EAA"/>
    <w:rsid w:val="00991190"/>
    <w:rsid w:val="009E1CC9"/>
    <w:rsid w:val="009E1DB7"/>
    <w:rsid w:val="009E2CDB"/>
    <w:rsid w:val="009E643E"/>
    <w:rsid w:val="009F31CF"/>
    <w:rsid w:val="00A07358"/>
    <w:rsid w:val="00A1485E"/>
    <w:rsid w:val="00A31552"/>
    <w:rsid w:val="00A45BB1"/>
    <w:rsid w:val="00A46478"/>
    <w:rsid w:val="00AB10F8"/>
    <w:rsid w:val="00AB3694"/>
    <w:rsid w:val="00AB7459"/>
    <w:rsid w:val="00AD3DF2"/>
    <w:rsid w:val="00AE4052"/>
    <w:rsid w:val="00B1405B"/>
    <w:rsid w:val="00B15E20"/>
    <w:rsid w:val="00B4723F"/>
    <w:rsid w:val="00B801D0"/>
    <w:rsid w:val="00BA7A70"/>
    <w:rsid w:val="00BB0D08"/>
    <w:rsid w:val="00BC7978"/>
    <w:rsid w:val="00C02E9A"/>
    <w:rsid w:val="00C04296"/>
    <w:rsid w:val="00C267D7"/>
    <w:rsid w:val="00C360B9"/>
    <w:rsid w:val="00C54618"/>
    <w:rsid w:val="00C65360"/>
    <w:rsid w:val="00C75367"/>
    <w:rsid w:val="00C956A1"/>
    <w:rsid w:val="00CA2872"/>
    <w:rsid w:val="00CA389C"/>
    <w:rsid w:val="00CA69B8"/>
    <w:rsid w:val="00CD7CDB"/>
    <w:rsid w:val="00CE7A50"/>
    <w:rsid w:val="00CF5170"/>
    <w:rsid w:val="00D30DE0"/>
    <w:rsid w:val="00D33382"/>
    <w:rsid w:val="00D4384D"/>
    <w:rsid w:val="00D54511"/>
    <w:rsid w:val="00D75983"/>
    <w:rsid w:val="00D97BB0"/>
    <w:rsid w:val="00DD4C8D"/>
    <w:rsid w:val="00DE1901"/>
    <w:rsid w:val="00DF3BCB"/>
    <w:rsid w:val="00DF5374"/>
    <w:rsid w:val="00E6037A"/>
    <w:rsid w:val="00E86B1F"/>
    <w:rsid w:val="00EA64AD"/>
    <w:rsid w:val="00F0111C"/>
    <w:rsid w:val="00F105A7"/>
    <w:rsid w:val="00F1433D"/>
    <w:rsid w:val="00F22F4D"/>
    <w:rsid w:val="00F32402"/>
    <w:rsid w:val="00F521C6"/>
    <w:rsid w:val="00F5266A"/>
    <w:rsid w:val="00F65992"/>
    <w:rsid w:val="00F67392"/>
    <w:rsid w:val="00F673AE"/>
    <w:rsid w:val="00F97836"/>
    <w:rsid w:val="00FA381F"/>
    <w:rsid w:val="00FA5918"/>
    <w:rsid w:val="00FB3D40"/>
    <w:rsid w:val="00FD1AE1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54"/>
    <w:pPr>
      <w:spacing w:line="256" w:lineRule="auto"/>
    </w:pPr>
    <w:rPr>
      <w:rFonts w:eastAsiaTheme="minorEastAsia"/>
      <w:kern w:val="0"/>
    </w:rPr>
  </w:style>
  <w:style w:type="paragraph" w:styleId="1">
    <w:name w:val="heading 1"/>
    <w:basedOn w:val="a"/>
    <w:next w:val="a"/>
    <w:link w:val="10"/>
    <w:uiPriority w:val="9"/>
    <w:qFormat/>
    <w:rsid w:val="00BA7A70"/>
    <w:pPr>
      <w:keepNext/>
      <w:keepLines/>
      <w:spacing w:before="240" w:after="240" w:line="257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70"/>
    <w:rPr>
      <w:rFonts w:ascii="Times New Roman" w:eastAsiaTheme="majorEastAsia" w:hAnsi="Times New Roman" w:cstheme="majorBidi"/>
      <w:b/>
      <w:kern w:val="0"/>
      <w:sz w:val="24"/>
      <w:szCs w:val="32"/>
    </w:rPr>
  </w:style>
  <w:style w:type="paragraph" w:styleId="a3">
    <w:name w:val="List Paragraph"/>
    <w:basedOn w:val="a"/>
    <w:uiPriority w:val="34"/>
    <w:qFormat/>
    <w:rsid w:val="00300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9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0954"/>
    <w:rPr>
      <w:color w:val="605E5C"/>
      <w:shd w:val="clear" w:color="auto" w:fill="E1DFDD"/>
    </w:rPr>
  </w:style>
  <w:style w:type="paragraph" w:customStyle="1" w:styleId="a5">
    <w:name w:val="Нормальный"/>
    <w:basedOn w:val="a"/>
    <w:link w:val="a6"/>
    <w:qFormat/>
    <w:rsid w:val="0030095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ормальный Знак"/>
    <w:basedOn w:val="a0"/>
    <w:link w:val="a5"/>
    <w:rsid w:val="00300954"/>
    <w:rPr>
      <w:rFonts w:ascii="Times New Roman" w:eastAsiaTheme="minorEastAsia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30095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00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954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0095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0095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00954"/>
    <w:rPr>
      <w:rFonts w:eastAsiaTheme="minorEastAsia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09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0954"/>
    <w:rPr>
      <w:rFonts w:eastAsiaTheme="minorEastAsia"/>
      <w:b/>
      <w:bCs/>
      <w:kern w:val="0"/>
      <w:sz w:val="20"/>
      <w:szCs w:val="20"/>
    </w:rPr>
  </w:style>
  <w:style w:type="paragraph" w:styleId="ad">
    <w:name w:val="Revision"/>
    <w:hidden/>
    <w:uiPriority w:val="99"/>
    <w:semiHidden/>
    <w:rsid w:val="00300954"/>
    <w:pPr>
      <w:spacing w:after="0" w:line="240" w:lineRule="auto"/>
    </w:pPr>
    <w:rPr>
      <w:rFonts w:eastAsiaTheme="minorEastAsia"/>
      <w:kern w:val="0"/>
    </w:rPr>
  </w:style>
  <w:style w:type="character" w:styleId="ae">
    <w:name w:val="FollowedHyperlink"/>
    <w:basedOn w:val="a0"/>
    <w:uiPriority w:val="99"/>
    <w:semiHidden/>
    <w:unhideWhenUsed/>
    <w:rsid w:val="00300954"/>
    <w:rPr>
      <w:color w:val="954F72" w:themeColor="followed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300954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00954"/>
    <w:pPr>
      <w:tabs>
        <w:tab w:val="left" w:pos="440"/>
        <w:tab w:val="right" w:leader="dot" w:pos="9345"/>
      </w:tabs>
      <w:spacing w:after="100" w:line="259" w:lineRule="auto"/>
    </w:pPr>
  </w:style>
  <w:style w:type="paragraph" w:styleId="2">
    <w:name w:val="toc 2"/>
    <w:basedOn w:val="a"/>
    <w:next w:val="a"/>
    <w:autoRedefine/>
    <w:uiPriority w:val="39"/>
    <w:unhideWhenUsed/>
    <w:rsid w:val="00300954"/>
    <w:pPr>
      <w:spacing w:after="100" w:line="259" w:lineRule="auto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00954"/>
    <w:pPr>
      <w:tabs>
        <w:tab w:val="left" w:pos="1320"/>
        <w:tab w:val="right" w:leader="dot" w:pos="9345"/>
      </w:tabs>
      <w:spacing w:after="100" w:line="259" w:lineRule="auto"/>
      <w:ind w:left="440"/>
    </w:pPr>
  </w:style>
  <w:style w:type="paragraph" w:styleId="af0">
    <w:name w:val="header"/>
    <w:basedOn w:val="a"/>
    <w:link w:val="af1"/>
    <w:uiPriority w:val="99"/>
    <w:unhideWhenUsed/>
    <w:rsid w:val="0030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0954"/>
    <w:rPr>
      <w:rFonts w:eastAsiaTheme="minorEastAsia"/>
      <w:kern w:val="0"/>
    </w:rPr>
  </w:style>
  <w:style w:type="paragraph" w:styleId="af2">
    <w:name w:val="footer"/>
    <w:basedOn w:val="a"/>
    <w:link w:val="af3"/>
    <w:uiPriority w:val="99"/>
    <w:unhideWhenUsed/>
    <w:rsid w:val="0030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0954"/>
    <w:rPr>
      <w:rFonts w:eastAsiaTheme="minorEastAsia"/>
      <w:kern w:val="0"/>
    </w:rPr>
  </w:style>
  <w:style w:type="paragraph" w:styleId="af4">
    <w:name w:val="footnote text"/>
    <w:basedOn w:val="a"/>
    <w:link w:val="af5"/>
    <w:uiPriority w:val="99"/>
    <w:semiHidden/>
    <w:unhideWhenUsed/>
    <w:rsid w:val="003009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00954"/>
    <w:rPr>
      <w:rFonts w:eastAsiaTheme="minorEastAsia"/>
      <w:kern w:val="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00954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30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0954"/>
    <w:rPr>
      <w:rFonts w:ascii="Segoe UI" w:eastAsiaTheme="minorEastAsia" w:hAnsi="Segoe UI" w:cs="Segoe UI"/>
      <w:kern w:val="0"/>
      <w:sz w:val="18"/>
      <w:szCs w:val="18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009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kurilov@edu.hse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itskiy@fo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nkurilov@edu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itskiy@fom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om.anketolog.ru/2023/01/31/kakih-inostrannyh-produktov-pitaniya-ne-hvataet" TargetMode="External"/><Relationship Id="rId2" Type="http://schemas.openxmlformats.org/officeDocument/2006/relationships/hyperlink" Target="https://dialog.x5.ru/connect/wp-content/uploads/2022/07/Pokupatel-i-ritejl.-NielsenIQ_D.Grinchak.pdf" TargetMode="External"/><Relationship Id="rId1" Type="http://schemas.openxmlformats.org/officeDocument/2006/relationships/hyperlink" Target="https://aquarelle-research.com/optimism/wav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614D-10B1-4CA8-B071-AF43478F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Kurilov</dc:creator>
  <cp:lastModifiedBy>Пользователь Windows</cp:lastModifiedBy>
  <cp:revision>4</cp:revision>
  <dcterms:created xsi:type="dcterms:W3CDTF">2023-08-09T05:25:00Z</dcterms:created>
  <dcterms:modified xsi:type="dcterms:W3CDTF">2023-08-09T08:36:00Z</dcterms:modified>
</cp:coreProperties>
</file>